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15B6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Поддержка на развитие фермерского хозяйства</w:t>
      </w:r>
    </w:p>
    <w:p w14:paraId="513934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(на основани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>и</w:t>
      </w:r>
      <w:r>
        <w:rPr>
          <w:rFonts w:ascii="Times New Roman" w:hAnsi="Times New Roman" w:cs="Times New Roman"/>
          <w:b/>
          <w:sz w:val="28"/>
          <w:szCs w:val="24"/>
        </w:rPr>
        <w:t xml:space="preserve"> постановлени</w:t>
      </w:r>
      <w:r>
        <w:rPr>
          <w:rFonts w:ascii="Times New Roman" w:hAnsi="Times New Roman" w:cs="Times New Roman"/>
          <w:b/>
          <w:sz w:val="28"/>
          <w:szCs w:val="24"/>
          <w:lang w:val="ru-RU"/>
        </w:rPr>
        <w:t>я</w:t>
      </w:r>
      <w:r>
        <w:rPr>
          <w:rFonts w:hint="default" w:ascii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Правительства РФ от 14 июля 2012 г. N 717)</w:t>
      </w:r>
    </w:p>
    <w:p w14:paraId="73DAB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231A13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Получатели поддержки:</w:t>
      </w:r>
      <w:r>
        <w:rPr>
          <w:rFonts w:ascii="Times New Roman" w:hAnsi="Times New Roman" w:cs="Times New Roman"/>
          <w:sz w:val="24"/>
          <w:szCs w:val="24"/>
        </w:rPr>
        <w:t xml:space="preserve"> крестьянское (фермерское) хозяйство, в состав членов которого входят 2 и более членов семьи главы крестьянского (фермерского) хозяйства (включая главу), объединенных родством и (или) свойством, зарегистрированное гражданином Российской Федерации, основными видами деятельности которого являются производство и (или) переработка сельскохозяйственной продукции.</w:t>
      </w:r>
    </w:p>
    <w:p w14:paraId="68BC8D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91BF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допускается направление средств бюджета заявителям, ранее являвшимся получателями иных грантов в рамках государственной программы, средств финансовой поддержки (за исключением социальных выплат и выплат на организацию начального этапа предпринимательской деятельности, субсидий, предоставляемых гражданам, ведущим личное подсобное хозяйство, субсидий, предоставленных в рамках государственной программы).</w:t>
      </w:r>
    </w:p>
    <w:p w14:paraId="0E42FBC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0629BD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Грант </w:t>
      </w:r>
      <w:bookmarkStart w:id="0" w:name="_Hlk221805957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на развитие фермерского хозяйства</w:t>
      </w:r>
      <w:bookmarkEnd w:id="0"/>
    </w:p>
    <w:p w14:paraId="6200D33A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Грант на развитие фермерского хозяйства, не предоставляются на финансовое обеспечение (возмещение) части затрат на закладку и (или) уход за виноградниками.</w:t>
      </w:r>
    </w:p>
    <w:p w14:paraId="1292595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54F9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1809213"/>
      <w:r>
        <w:rPr>
          <w:rFonts w:ascii="Times New Roman" w:hAnsi="Times New Roman" w:cs="Times New Roman"/>
          <w:sz w:val="24"/>
          <w:szCs w:val="24"/>
        </w:rPr>
        <w:t xml:space="preserve">Средства бюджета предоставляются при условии регистрации К(Ф)Х на сельской территории или территории сельской агломерации не менее 12 месяцев. </w:t>
      </w:r>
    </w:p>
    <w:bookmarkEnd w:id="1"/>
    <w:p w14:paraId="6E68431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направлении на отбор проекта грантополучателя на предоставление гранта на развитие фермерского хозяйства в размере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до 8 млн. рублей срок регистрации заявителя может быть менее 12 месяцев или заявителем может быть гражданин Российской Федерации, обязующийся в срок, не превышающий 30 календарных дней </w:t>
      </w:r>
      <w:r>
        <w:rPr>
          <w:rFonts w:ascii="Times New Roman" w:hAnsi="Times New Roman" w:cs="Times New Roman"/>
          <w:sz w:val="24"/>
          <w:szCs w:val="24"/>
        </w:rPr>
        <w:t>с даты принятия решения региональной комиссии по отбору проектов о предоставлении ему соответствующего гранта, осуществить государственную регистрацию К(Ф)Х  или зарегистрироваться в качестве ИП.</w:t>
      </w:r>
    </w:p>
    <w:p w14:paraId="4B539B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37B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Сумма «Гранта на развитие фермерского хозяйства»:</w:t>
      </w:r>
    </w:p>
    <w:p w14:paraId="45992A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1805121"/>
      <w:r>
        <w:rPr>
          <w:rFonts w:ascii="Times New Roman" w:hAnsi="Times New Roman" w:cs="Times New Roman"/>
          <w:sz w:val="24"/>
          <w:szCs w:val="24"/>
        </w:rPr>
        <w:t>- до 5 млн. рублей, (но не менее 10 процентов стоимости проекта грантополучателя);</w:t>
      </w:r>
    </w:p>
    <w:bookmarkEnd w:id="2"/>
    <w:p w14:paraId="41FA694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8 млн. рублей, (но не менее 20 процентов стоимости проекта грантополучателя);</w:t>
      </w:r>
    </w:p>
    <w:p w14:paraId="6E88EA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15 млн. рублей, (но не менее 30 процентов стоимости проекта грантополучателя);</w:t>
      </w:r>
    </w:p>
    <w:p w14:paraId="79B629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для реализации проекта грантополучателя, направленного на развитие животноводства, заявителем привлечен инвестиционный кредит и такой проект предусматривает организацию содержания не менее 500 голов маточного поголовья крупного рогатого скота и не менее 2500 голов маточного поголовья овец и (или) коз, размер гранта на развитие фермерского хозяйства может быть увеличен на 1 млн. рублей.</w:t>
      </w:r>
    </w:p>
    <w:p w14:paraId="20FDFC9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грантов не может быть менее 3 млн. рублей.</w:t>
      </w:r>
    </w:p>
    <w:p w14:paraId="5242F8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предоставляются однократно.</w:t>
      </w:r>
    </w:p>
    <w:p w14:paraId="579804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9EC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1802246"/>
      <w:r>
        <w:rPr>
          <w:rFonts w:ascii="Times New Roman" w:hAnsi="Times New Roman" w:cs="Times New Roman"/>
          <w:b/>
          <w:bCs/>
          <w:sz w:val="24"/>
          <w:szCs w:val="24"/>
        </w:rPr>
        <w:t>Перечень целевых направлений расходования средств гранта</w:t>
      </w:r>
    </w:p>
    <w:bookmarkEnd w:id="3"/>
    <w:p w14:paraId="65646F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приобретение земельных участков из земель сельскохозяйственного назначения для осуществления деятельности с целью производства и (или) переработки сельскохозяйственной продукции в рамках реализации проекта грантополучателя;</w:t>
      </w:r>
    </w:p>
    <w:p w14:paraId="110B39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приобретение, строительство, капитальный ремонт, модернизация и (или) переустройство зданий, помещений и (или) сооружений, в том числе модульных,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</w:t>
      </w:r>
    </w:p>
    <w:p w14:paraId="76A705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Подключение зданий, помещений и (или) сооружений, необходимых для производства, хранения, первичной и (или) последующей переработки сельскохозяйственной продукции, к электрическим, водо-, газо- и теплопроводным сетям, в том числе автономным;</w:t>
      </w:r>
    </w:p>
    <w:p w14:paraId="38AE423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Комплектация указанных в подпунктах «2», настоящего пункта зданий, помещений, сооружений и (или) модульных объектов оборудованием в соответствии с приложением №1 к настоящей информационной справке.</w:t>
      </w:r>
    </w:p>
    <w:p w14:paraId="353464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Комплектация указанных в подпунктах «2», «3» настоящего пункта зданий, помещений, сооружений и (или) модульных объектов оборудование для рыбоводной инфраструктуры и аквакультуры (рыбоводства), предусмотренным в соответствии с Классификатором в области аквакультуры (рыбоводства), утвержденным приказом Министерства сельского хозяйства Российской Федерации от 18 ноября 2014 года № 452 «Об утверждении Классификатора в области аквакультуры (рыбоводства)», по номенклатуре, определенной следующими кодами : 04.02.04 Живорыбные контейнеры; 04.02.10 Генераторы тока; 04.02.12 Плавучие кормораздатчики; 04.03 Оборудование; 04.04 Специальные устройства; 04.05 Приборы.</w:t>
      </w:r>
    </w:p>
    <w:p w14:paraId="4C3D54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Приобретение и монтаж газопоршневых установок;</w:t>
      </w:r>
    </w:p>
    <w:p w14:paraId="46518D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Приобретение маточного поголовья крупного рогатого скота в случае, если проект грантополучателя, направленный на развитие животноводства, предусматривает организацию не менее 150 новых скотомест крупного рогатого скота.</w:t>
      </w:r>
    </w:p>
    <w:p w14:paraId="291CC0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640E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имущества, ранее приобретенного с использованием средств государственной поддержки, за счет гранта, не допускается.</w:t>
      </w:r>
    </w:p>
    <w:p w14:paraId="349D48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Реализация, передача в аренду, залог и (или) отчуждение имущества, приобретенного с использованием гранта, допускаются только при согласовании с уполномоченным органом, а также при условии неухудшения плановых показателей деятельности, предусмотренных проектом грантополучателя.</w:t>
      </w:r>
    </w:p>
    <w:p w14:paraId="55F17E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9E18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 освоения гранта:</w:t>
      </w:r>
    </w:p>
    <w:p w14:paraId="009B489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грант на развитие фермерского хозяйства составляет не более 18 месяцев со дня его получения.</w:t>
      </w:r>
    </w:p>
    <w:p w14:paraId="1D77D2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C932B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земельному участку:</w:t>
      </w:r>
    </w:p>
    <w:p w14:paraId="15AFE9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Земельные участки, задействованные в проекте на развитие фермерского хозяйства, должны быть занесены в ЕФИС ЗСН.</w:t>
      </w:r>
    </w:p>
    <w:p w14:paraId="30EE3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D0EA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получателями гранта на развитие фермерского хозяйства </w:t>
      </w:r>
      <w:r>
        <w:rPr>
          <w:rFonts w:ascii="Times New Roman" w:hAnsi="Times New Roman" w:cs="Times New Roman"/>
          <w:b/>
          <w:bCs/>
          <w:sz w:val="24"/>
          <w:szCs w:val="24"/>
        </w:rPr>
        <w:t>ежегодного прироста объема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 в течение не менее чем 5 лет с даты получения гранта </w:t>
      </w:r>
      <w:r>
        <w:rPr>
          <w:rFonts w:ascii="Times New Roman" w:hAnsi="Times New Roman" w:cs="Times New Roman"/>
          <w:b/>
          <w:bCs/>
          <w:sz w:val="24"/>
          <w:szCs w:val="24"/>
        </w:rPr>
        <w:t>в размере не менее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%;</w:t>
      </w:r>
    </w:p>
    <w:p w14:paraId="197483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39CD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Обеспечение трудоустройства не менее 2 новых постоянных работников</w:t>
      </w:r>
      <w:r>
        <w:rPr>
          <w:rFonts w:ascii="Times New Roman" w:hAnsi="Times New Roman" w:cs="Times New Roman"/>
          <w:sz w:val="24"/>
          <w:szCs w:val="24"/>
        </w:rPr>
        <w:t xml:space="preserve">, если размер гранта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составляет 5 млн. рублей</w:t>
      </w:r>
      <w:r>
        <w:rPr>
          <w:rFonts w:ascii="Times New Roman" w:hAnsi="Times New Roman" w:cs="Times New Roman"/>
          <w:sz w:val="24"/>
          <w:szCs w:val="24"/>
        </w:rPr>
        <w:t xml:space="preserve"> или более, и </w:t>
      </w:r>
      <w:r>
        <w:rPr>
          <w:rFonts w:ascii="Times New Roman" w:hAnsi="Times New Roman" w:cs="Times New Roman"/>
          <w:b/>
          <w:bCs/>
          <w:sz w:val="24"/>
          <w:szCs w:val="24"/>
        </w:rPr>
        <w:t>не менее 1 нового постоянного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, если размер гранта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составляет менее 5 млн. рублей</w:t>
      </w:r>
      <w:r>
        <w:rPr>
          <w:rFonts w:ascii="Times New Roman" w:hAnsi="Times New Roman" w:cs="Times New Roman"/>
          <w:sz w:val="24"/>
          <w:szCs w:val="24"/>
        </w:rPr>
        <w:t xml:space="preserve"> (при этом глава крестьянского (фермерского) хозяйства и (или) индивидуальный предприниматель учитываются в качестве новых постоянных работников);</w:t>
      </w:r>
    </w:p>
    <w:p w14:paraId="722424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D693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не менее чем 5 лет со дня получения средств гранта осуществлять деятельность на сельской территории или на территории сельской агломерации, сохранять созданные новые рабочие места, достигнуть показателей деятельности, предусмотренных проектом грантополучателя, а также представлять отчетность о реализации проекта.</w:t>
      </w:r>
    </w:p>
    <w:p w14:paraId="0FB6AF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3D94B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55AC0D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гранту допускается комплектация зданий, помещений, сооружений и (или) модульных объектов оборудованием в соответствии с Общероссийским классификатором продукции по видам экономической деятельности (ОКПД 2) ОК 034-2014 (КПЕС 2008):</w:t>
      </w:r>
    </w:p>
    <w:p w14:paraId="0B1228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43CF8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3905384"/>
      <w:r>
        <w:rPr>
          <w:rFonts w:ascii="Times New Roman" w:hAnsi="Times New Roman" w:cs="Times New Roman"/>
          <w:sz w:val="24"/>
          <w:szCs w:val="24"/>
        </w:rPr>
        <w:t>27.24.12.111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Бочки деревянные для вин, соков и морсов</w:t>
      </w:r>
    </w:p>
    <w:p w14:paraId="0CAC6F5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27.11.26 </w:t>
      </w:r>
      <w:bookmarkStart w:id="5" w:name="_Hlk233904365"/>
      <w:r>
        <w:rPr>
          <w:rFonts w:ascii="Times New Roman" w:hAnsi="Times New Roman" w:cs="Times New Roman"/>
          <w:sz w:val="24"/>
          <w:szCs w:val="24"/>
        </w:rPr>
        <w:tab/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Генераторы переменного тока (синхронные генераторы) </w:t>
      </w:r>
    </w:p>
    <w:p w14:paraId="54D9F3C5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27.11.31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Установки генераторные с двигателями внутреннего сгорания с воспламенением от сжатия </w:t>
      </w:r>
    </w:p>
    <w:p w14:paraId="53F7739A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27.11.32.110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Установки генераторные с карбюраторными двигателями </w:t>
      </w:r>
    </w:p>
    <w:p w14:paraId="686B038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27.11.32.120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Установки генераторные прочие </w:t>
      </w:r>
    </w:p>
    <w:p w14:paraId="45E98B02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33904443"/>
      <w:r>
        <w:rPr>
          <w:rFonts w:ascii="Times New Roman" w:hAnsi="Times New Roman" w:cs="Times New Roman"/>
          <w:sz w:val="24"/>
          <w:szCs w:val="24"/>
        </w:rPr>
        <w:t xml:space="preserve">27.11.41 </w:t>
      </w:r>
      <w:r>
        <w:rPr>
          <w:rFonts w:ascii="Times New Roman" w:hAnsi="Times New Roman" w:cs="Times New Roman"/>
          <w:sz w:val="24"/>
          <w:szCs w:val="24"/>
        </w:rPr>
        <w:tab/>
      </w:r>
      <w:bookmarkEnd w:id="6"/>
      <w:r>
        <w:rPr>
          <w:rFonts w:ascii="Times New Roman" w:hAnsi="Times New Roman" w:cs="Times New Roman"/>
          <w:sz w:val="24"/>
          <w:szCs w:val="24"/>
        </w:rPr>
        <w:t>Трансформаторы с жидким диэлектриком</w:t>
      </w:r>
    </w:p>
    <w:p w14:paraId="50CDAA77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27.11.42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Трансформаторы прочие мощностью не более 16 кВА</w:t>
      </w:r>
    </w:p>
    <w:p w14:paraId="1EE152D2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27.11.43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Трансформаторы прочие мощностью более 16 кВА</w:t>
      </w:r>
    </w:p>
    <w:p w14:paraId="6D23548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27.40</w:t>
      </w:r>
      <w:bookmarkStart w:id="7" w:name="_Hlk233904544"/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7"/>
      <w:r>
        <w:rPr>
          <w:rFonts w:ascii="Times New Roman" w:hAnsi="Times New Roman" w:cs="Times New Roman"/>
          <w:sz w:val="24"/>
          <w:szCs w:val="24"/>
        </w:rPr>
        <w:t>Оборудование электрическое осветительное (за исключением кода 27.40.9 - слуги по производству электрического осветительного оборудования отдельные, выполняемые субподрядчиком)</w:t>
      </w:r>
    </w:p>
    <w:p w14:paraId="19120091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27.51.26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Электроприборы для обогрева воздуха и электроприборы для обогрева почвы </w:t>
      </w:r>
    </w:p>
    <w:p w14:paraId="43CDA13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28.13.12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Насосы возвратно-поступательные объёмного действия прочие для перекачки жидкостей</w:t>
      </w:r>
    </w:p>
    <w:p w14:paraId="1315FE58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28.13.13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Насосы роторные объёмные прочие для перекачки жидкостей</w:t>
      </w:r>
    </w:p>
    <w:p w14:paraId="7696A6D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28.13.14.110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Насосы центробежные подачи жидкостей прочие </w:t>
      </w:r>
    </w:p>
    <w:p w14:paraId="0E05C47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28.13.21.190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Насосы вакуумные прочие, не включенные в другие группировки </w:t>
      </w:r>
    </w:p>
    <w:p w14:paraId="4DDC886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</w:t>
      </w:r>
    </w:p>
    <w:p w14:paraId="01D6507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ленточные </w:t>
      </w:r>
    </w:p>
    <w:p w14:paraId="324594E3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скребковые </w:t>
      </w:r>
    </w:p>
    <w:p w14:paraId="08A7D57E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пластинчатые </w:t>
      </w:r>
    </w:p>
    <w:p w14:paraId="7E7C806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вибрационные </w:t>
      </w:r>
    </w:p>
    <w:p w14:paraId="7C6B5768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роликовые </w:t>
      </w:r>
    </w:p>
    <w:p w14:paraId="38E05A50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28.22.17.116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винтовые </w:t>
      </w:r>
    </w:p>
    <w:p w14:paraId="226BBB69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28.22.17.119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Конвейеры прочие, не включенные в другие группировки </w:t>
      </w:r>
    </w:p>
    <w:p w14:paraId="2D63860D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Элеваторы </w:t>
      </w:r>
    </w:p>
    <w:p w14:paraId="00FBBD67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28.22.17.121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Элеваторы ковшовые </w:t>
      </w:r>
    </w:p>
    <w:p w14:paraId="43AE8B95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28.22.17.122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Элеваторы специальные </w:t>
      </w:r>
    </w:p>
    <w:p w14:paraId="2ED673C8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28.22.17.190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Подъемники и конвейеры пневматические и прочие непрерывного действия для товаров или материалов, не включенные в другие группировки </w:t>
      </w:r>
    </w:p>
    <w:p w14:paraId="3365005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28.22.18.320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Устройства загрузочные механические для сыпучих материалов </w:t>
      </w:r>
    </w:p>
    <w:p w14:paraId="71C6CBDA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28.22.18.390 </w:t>
      </w:r>
      <w:bookmarkStart w:id="8" w:name="_Hlk233904801"/>
      <w:r>
        <w:rPr>
          <w:rFonts w:ascii="Times New Roman" w:hAnsi="Times New Roman" w:cs="Times New Roman"/>
          <w:sz w:val="24"/>
          <w:szCs w:val="24"/>
        </w:rPr>
        <w:tab/>
      </w:r>
      <w:bookmarkEnd w:id="8"/>
      <w:r>
        <w:rPr>
          <w:rFonts w:ascii="Times New Roman" w:hAnsi="Times New Roman" w:cs="Times New Roman"/>
          <w:sz w:val="24"/>
          <w:szCs w:val="24"/>
        </w:rPr>
        <w:t>Оборудование подъемно-транспортное и погрузочно-разгрузочное прочее, не включенное в другие группировки</w:t>
      </w:r>
    </w:p>
    <w:p w14:paraId="6CA80F2A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28.25.1 Теплообменники; оборудование промышленное для кондиционирования воздуха, холодильное и морозильное оборудование (за исключением кодов 28.25.12.120 - Кондиционеры для транспортных средств, 28.25.12.121 - воздушные кондиционеры для судов, 28.25.12.129 - Кондиционеры для прочих транспортных средств, 28.25.12.130 - кондиционеры бытовые, 28.25.13.116 - Холодильные, морозильные камеры медицинские)</w:t>
      </w:r>
    </w:p>
    <w:p w14:paraId="1CBB2C0F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28.25.20.111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Вентиляторы осевые (для коровников, птичников).</w:t>
      </w:r>
    </w:p>
    <w:p w14:paraId="2F6A887D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28.25.20.130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Вентиляторы канальные.</w:t>
      </w:r>
    </w:p>
    <w:p w14:paraId="3DA25452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28.25.20.190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Вентиляторы прочие (общего назначения)</w:t>
      </w:r>
    </w:p>
    <w:p w14:paraId="3466FCEB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28.29.12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и установки для фильтрования или очистки жидкостей </w:t>
      </w:r>
    </w:p>
    <w:p w14:paraId="45DF6EC0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28.29.21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мойки, заполнения, закупоривания или упаковывания бутылок или прочих емкостей </w:t>
      </w:r>
    </w:p>
    <w:p w14:paraId="10A0D386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28.29.3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взвешивания и дозировки промышленное, бытовое и прочее </w:t>
      </w:r>
    </w:p>
    <w:p w14:paraId="439E7307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28.30.81.120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Машины для очистки, сортировки фруктов </w:t>
      </w:r>
    </w:p>
    <w:p w14:paraId="71F89490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28.30.81.190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Машины для очистки, сортировки прочих продуктов сельскохозяйственного производства, кроме семян, зерна и сухих бобовых культур </w:t>
      </w:r>
    </w:p>
    <w:p w14:paraId="3D0EDE97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28.30.82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Установки и аппараты доильные </w:t>
      </w:r>
    </w:p>
    <w:p w14:paraId="04D0F07E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приготовления кормов для животных </w:t>
      </w:r>
    </w:p>
    <w:p w14:paraId="31BBBF7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Инкубаторы и брудеры для птицеводства </w:t>
      </w:r>
    </w:p>
    <w:p w14:paraId="51FA2F33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Машины и оборудование для содержания птицы </w:t>
      </w:r>
    </w:p>
    <w:p w14:paraId="595F93F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28.30.86.110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сельского хозяйства, не включенное в другие группировки </w:t>
      </w:r>
    </w:p>
    <w:p w14:paraId="0441413A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28.30.86.120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садоводства, не включенное в другие группировки </w:t>
      </w:r>
    </w:p>
    <w:p w14:paraId="678B9E5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28.30.86.140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птицеводства, не включенное в другие группировки </w:t>
      </w:r>
    </w:p>
    <w:p w14:paraId="64B15E54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28.30.86.150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Оборудование для пчеловодства, не включенное в другие группировки </w:t>
      </w:r>
    </w:p>
    <w:p w14:paraId="7A88143A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28.93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Оборудование для производства пищевых продуктов, напитков и табачных изделий (за исключением кодов 28.93.19 - Оборудование для подготовки или производства табака, не включённое в другие группировки, 28.93.3 - Части оборудования для обработки пищевых продуктов, напитков и табака, 28.93.9 - Услуги по производству оборудования для производства пищевых продуктов, напитков и табака отдельные, выполняемые субподрядчиком).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End w:id="4"/>
    </w:p>
    <w:p w14:paraId="2176213C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D1541BD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626F075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F41CD1B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C8FE2E8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0060E834">
      <w:pPr>
        <w:tabs>
          <w:tab w:val="left" w:pos="1843"/>
        </w:tabs>
        <w:spacing w:after="0" w:line="240" w:lineRule="auto"/>
        <w:ind w:firstLine="567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10" w:name="_GoBack"/>
      <w:bookmarkEnd w:id="10"/>
    </w:p>
    <w:p w14:paraId="18372D9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Субсидия на развитие фермерского хозяйства</w:t>
      </w:r>
    </w:p>
    <w:p w14:paraId="621EA9E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E098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 бюджета предоставляются при условии регистрации К(Ф)Х на сельской территории или территории сельской агломерации не менее 12 месяцев. </w:t>
      </w:r>
    </w:p>
    <w:p w14:paraId="1A7233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F830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Сумма «Субсидии на развитие фермерского хозяйства»:</w:t>
      </w:r>
    </w:p>
    <w:p w14:paraId="66CCD3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60 % затрат крестьянского (фермерского) хозяйства;</w:t>
      </w:r>
    </w:p>
    <w:p w14:paraId="6C37DE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 70 % затрат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в случае, если крестьянское (фермерское) хозяйство является производителем органической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D708B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более 20 млн. рублей, за исключением затрат, возмещаемых в составе гранта на развитие фермерского хозяйства.</w:t>
      </w:r>
    </w:p>
    <w:p w14:paraId="4AF762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31C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целевых направлений возмещение средств субсидии:</w:t>
      </w:r>
    </w:p>
    <w:p w14:paraId="1236624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Приобретение поголовья сельскохозяйственных животных (кроме свиней), в том числе крупного рогатого скота и (или) лошадей в возрасте не более 2 лет, и птицы;</w:t>
      </w:r>
    </w:p>
    <w:p w14:paraId="4B63F7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Приобретение рыбопосадочного материала;</w:t>
      </w:r>
    </w:p>
    <w:p w14:paraId="551EE4A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Приобретение племенного материала (семени (спермы) и эмбрионов) крупного рогатого скота, овец и коз;</w:t>
      </w:r>
    </w:p>
    <w:p w14:paraId="1D36B1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Приобретение посадочного материала для закладки многолетних насаждений, в том числе виноградных, и земляники;</w:t>
      </w:r>
    </w:p>
    <w:p w14:paraId="69FA0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Приобретение и монтаж газопоршневых установок</w:t>
      </w:r>
    </w:p>
    <w:p w14:paraId="454B0E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Приобретение инвентаря, оборудования, машин, автотранспортных средств и техники в соответствии с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приложением №2 к настоящей информационной справке.</w:t>
      </w:r>
    </w:p>
    <w:p w14:paraId="4CF7B7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Приобретение оборудования для рыбоводной инфраструктуры и аквакультуры (рыбоводства), предусмотренным в соответствии с Классификатором в области аквакультуры (рыбоводства), утвержденным приказом Министерства сельского хозяйства Российской Федерации от 18 ноября 2014 года № 452 «Об утверждении Классификатора в области аквакультуры (рыбоводства)», по номенклатуре, определенной следующими кодами: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04.02.01 Живорыбные машины; 04.02.04 Живорыбные контейнеры; 04.02.07 Камышекосилки; 04.02.09 Мотопомпы; 04.02.10 Генераторы тока; 04.02.11 Косилки; 04.02.12 Плавучие кормораздатчики; 04.03 Оборудование; 04.04 Специальные устройства; 04.05 Приборы.</w:t>
      </w:r>
    </w:p>
    <w:p w14:paraId="1DFBA9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5286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крестьянскими (фермерскими) хозяйствами, получившими средства субсидии, </w:t>
      </w:r>
      <w:r>
        <w:rPr>
          <w:rFonts w:ascii="Times New Roman" w:hAnsi="Times New Roman" w:cs="Times New Roman"/>
          <w:b/>
          <w:bCs/>
          <w:sz w:val="24"/>
          <w:szCs w:val="24"/>
        </w:rPr>
        <w:t>ежегодного прироста объема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сельскохозяйственной продукции в течение не менее чем 2 лет с даты получения средств, включая год получения средств, прироста объема производства сельскохозяйственной продукции </w:t>
      </w:r>
      <w:r>
        <w:rPr>
          <w:rFonts w:ascii="Times New Roman" w:hAnsi="Times New Roman" w:cs="Times New Roman"/>
          <w:b/>
          <w:bCs/>
          <w:sz w:val="24"/>
          <w:szCs w:val="24"/>
        </w:rPr>
        <w:t>в размере не менее 7 %.</w:t>
      </w:r>
    </w:p>
    <w:p w14:paraId="4D5FC3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одновременное предоставление гранта и субсидии, на развитие фермерского хозяйства, в случае если проектом грантополучателя, реализация которого планируется за счет гранта на развитие фермерского хозяйства, не предусмотрены затраты, возмещаемые субсидией.</w:t>
      </w:r>
    </w:p>
    <w:p w14:paraId="31A86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CFEB1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221803100"/>
      <w:r>
        <w:rPr>
          <w:rFonts w:ascii="Times New Roman" w:hAnsi="Times New Roman" w:cs="Times New Roman"/>
          <w:sz w:val="24"/>
          <w:szCs w:val="24"/>
        </w:rPr>
        <w:t xml:space="preserve">По субсидии допускается </w:t>
      </w:r>
      <w:bookmarkEnd w:id="9"/>
      <w:r>
        <w:rPr>
          <w:rFonts w:ascii="Times New Roman" w:hAnsi="Times New Roman" w:cs="Times New Roman"/>
          <w:sz w:val="24"/>
          <w:szCs w:val="24"/>
        </w:rPr>
        <w:t>приобретение инвентаря, оборудования, машин, автотранспортных средств и техники в соответствии с Общероссийским классификатором продукции по следующим видам экономической деятельности (ОКПД 2) ОК 034-2014 (КПЕС 2008): 16.24.12.111, 22.21.30, 22.22.13, 22.23.13, 22.23.20, 24.33.20, 25.21.11.140 – 25.21.13, 25.29.11, 25.30.11, 25.30.12, 25.91.12, 25.92.12, 26.51.53.120, 26.51.53.130, 26.51.53.190, 26.51.61.110, 26.70.22.150, 27.11.1 – 27.11.2, 27.11.31, 27.11.32, 27.11.32.110, 27.11.32.120, 27.11.4, 27.51.26.120, 27.52.14, 28.12.13, 28.13.1, 28.13.14.110, 28.13.21.190, 28.21.13.120, 28.13.22, 28.13.23, 28.13.26, 28.13.28, 28.22.14.150, 28.22.14.159 – 28.22.14.162, 28.22.14.169, 28.22.15.110, 28.22.15.120, 28.22.17.110, 28.22.17.111, 28.22.17.112, 28.22.17.113, 28.22.17.114, 28.22.17.115, 28.22.17.116, 28.22.17.119, 28.22.17.120, 28.22.17.121, 28.22.17.122, 28.22.17.190, 28.22.18.210 – 28.22.18.269, 28.22.18.310, 28.22.18.314, 28.22.18.320, 28.22.18.390, 28.25.1 (за исключением кодов 28.25.12.120, 28.25.12.121, 28.25.12.129, 28.25.12.130, 28.25.13.116), 28.25.20.111, 28.25.20.130, 28.25.20.190, 28.29.12, 28.29.21, 28.29.3, 28.30.2 – 28.30.8 (за исключением машин и оборудования для лесного хозяйства и кода 28.30.4), 28.92.25, 28.92.50.000, 28.93 (за исключением кодов 28.93.19, 28.93.3, 28.93.9), 29.10.41.110 – 29.10.41.122 (за исключением кода 29.10.41.113), 29.10.42.111, 29.10.42.121, 29.10.44.000, 29.10.59.240, 29.10.59.280, 29.10.59.390, 29.20.23.120, 29.20.23.130, 31.01.13.000.</w:t>
      </w:r>
    </w:p>
    <w:p w14:paraId="5E647F8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D9"/>
    <w:rsid w:val="000301D0"/>
    <w:rsid w:val="000373B7"/>
    <w:rsid w:val="000478D2"/>
    <w:rsid w:val="0005619B"/>
    <w:rsid w:val="00075B24"/>
    <w:rsid w:val="0009348E"/>
    <w:rsid w:val="000B6B8D"/>
    <w:rsid w:val="000E2D7C"/>
    <w:rsid w:val="001129F9"/>
    <w:rsid w:val="0011470F"/>
    <w:rsid w:val="00123EE6"/>
    <w:rsid w:val="00161B6A"/>
    <w:rsid w:val="001978A4"/>
    <w:rsid w:val="001A6C0F"/>
    <w:rsid w:val="00264C2A"/>
    <w:rsid w:val="00284E1C"/>
    <w:rsid w:val="002A35D6"/>
    <w:rsid w:val="002B7CB4"/>
    <w:rsid w:val="002E0DF8"/>
    <w:rsid w:val="00313D62"/>
    <w:rsid w:val="00385696"/>
    <w:rsid w:val="00386261"/>
    <w:rsid w:val="00393FD4"/>
    <w:rsid w:val="00403EF2"/>
    <w:rsid w:val="0041311D"/>
    <w:rsid w:val="00441FC9"/>
    <w:rsid w:val="004719CD"/>
    <w:rsid w:val="004870D4"/>
    <w:rsid w:val="004D37E9"/>
    <w:rsid w:val="004F00E3"/>
    <w:rsid w:val="00521823"/>
    <w:rsid w:val="00527FA7"/>
    <w:rsid w:val="00531343"/>
    <w:rsid w:val="00556335"/>
    <w:rsid w:val="0059376E"/>
    <w:rsid w:val="005A2711"/>
    <w:rsid w:val="005D6349"/>
    <w:rsid w:val="005E69DB"/>
    <w:rsid w:val="005F539D"/>
    <w:rsid w:val="00607F34"/>
    <w:rsid w:val="006346AB"/>
    <w:rsid w:val="00665768"/>
    <w:rsid w:val="00697AB8"/>
    <w:rsid w:val="006B4A61"/>
    <w:rsid w:val="006C39AE"/>
    <w:rsid w:val="006D777A"/>
    <w:rsid w:val="006E30B3"/>
    <w:rsid w:val="006F29B1"/>
    <w:rsid w:val="00707072"/>
    <w:rsid w:val="00712BCC"/>
    <w:rsid w:val="00727BC5"/>
    <w:rsid w:val="00735760"/>
    <w:rsid w:val="007504B8"/>
    <w:rsid w:val="00774E02"/>
    <w:rsid w:val="00813EE9"/>
    <w:rsid w:val="008C132E"/>
    <w:rsid w:val="008F33A5"/>
    <w:rsid w:val="009048EE"/>
    <w:rsid w:val="00913FD3"/>
    <w:rsid w:val="00960679"/>
    <w:rsid w:val="0096178D"/>
    <w:rsid w:val="009976FF"/>
    <w:rsid w:val="009C3DE6"/>
    <w:rsid w:val="009C7A25"/>
    <w:rsid w:val="009D74B0"/>
    <w:rsid w:val="00A0594A"/>
    <w:rsid w:val="00A35146"/>
    <w:rsid w:val="00A4667A"/>
    <w:rsid w:val="00A84574"/>
    <w:rsid w:val="00A915F9"/>
    <w:rsid w:val="00AD108A"/>
    <w:rsid w:val="00AF4564"/>
    <w:rsid w:val="00AF5E68"/>
    <w:rsid w:val="00B168B7"/>
    <w:rsid w:val="00B623DE"/>
    <w:rsid w:val="00B62572"/>
    <w:rsid w:val="00B94FFC"/>
    <w:rsid w:val="00BA6ECC"/>
    <w:rsid w:val="00BF0DB3"/>
    <w:rsid w:val="00C13BD9"/>
    <w:rsid w:val="00C92BC2"/>
    <w:rsid w:val="00CA2934"/>
    <w:rsid w:val="00CE4261"/>
    <w:rsid w:val="00D020CA"/>
    <w:rsid w:val="00D11FA2"/>
    <w:rsid w:val="00D171D2"/>
    <w:rsid w:val="00D227B6"/>
    <w:rsid w:val="00D23AC7"/>
    <w:rsid w:val="00D271FB"/>
    <w:rsid w:val="00D276A7"/>
    <w:rsid w:val="00D414BB"/>
    <w:rsid w:val="00D51778"/>
    <w:rsid w:val="00D64714"/>
    <w:rsid w:val="00D7132A"/>
    <w:rsid w:val="00D77DB7"/>
    <w:rsid w:val="00DA602C"/>
    <w:rsid w:val="00DC018D"/>
    <w:rsid w:val="00DC4D15"/>
    <w:rsid w:val="00DC6A78"/>
    <w:rsid w:val="00E264A4"/>
    <w:rsid w:val="00E3128B"/>
    <w:rsid w:val="00E3609F"/>
    <w:rsid w:val="00EE4F98"/>
    <w:rsid w:val="00F15CDE"/>
    <w:rsid w:val="00F26B9C"/>
    <w:rsid w:val="00F66DCC"/>
    <w:rsid w:val="00F758D1"/>
    <w:rsid w:val="00F82224"/>
    <w:rsid w:val="00F834B4"/>
    <w:rsid w:val="00F83B25"/>
    <w:rsid w:val="00FB3645"/>
    <w:rsid w:val="00FB70BA"/>
    <w:rsid w:val="00FE2AAF"/>
    <w:rsid w:val="00FF4961"/>
    <w:rsid w:val="2CB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Название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1660</Words>
  <Characters>12607</Characters>
  <Lines>101</Lines>
  <Paragraphs>28</Paragraphs>
  <TotalTime>3</TotalTime>
  <ScaleCrop>false</ScaleCrop>
  <LinksUpToDate>false</LinksUpToDate>
  <CharactersWithSpaces>14240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2026-07-08T07:59:00Z</dcterms:created>
  <dc:creator>CSK</dc:creator>
  <cp:lastModifiedBy>Hrykowa_ME</cp:lastModifiedBy>
  <dcterms:modified xsi:type="dcterms:W3CDTF">2026-07-10T08:16:46Z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eyJoZGlkIjoiOWRhYzFiYTE5ZjQwMjBkY2E4MmJiNWIzMDk4MDJkYmYifQ==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0740DF5B07C64E79B838031AE9C481E2_12</vt:lpwstr>
  </property>
</Properties>
</file>