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EDBE9B" w14:textId="5B784100" w:rsidR="00F5527C" w:rsidRDefault="00F5527C" w:rsidP="00F5527C">
      <w:pPr>
        <w:pStyle w:val="4"/>
        <w:spacing w:before="0" w:after="0"/>
        <w:ind w:right="282"/>
        <w:jc w:val="right"/>
      </w:pPr>
    </w:p>
    <w:p w14:paraId="48B636C5" w14:textId="77777777" w:rsidR="00F5527C" w:rsidRDefault="00F5527C" w:rsidP="00F5527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</w:t>
      </w:r>
    </w:p>
    <w:p w14:paraId="11600427" w14:textId="77777777" w:rsidR="00F5527C" w:rsidRDefault="00F5527C" w:rsidP="00F5527C">
      <w:pPr>
        <w:jc w:val="center"/>
      </w:pPr>
    </w:p>
    <w:p w14:paraId="2B8C04D1" w14:textId="77777777" w:rsidR="00F5527C" w:rsidRDefault="00F5527C" w:rsidP="00F5527C">
      <w:pPr>
        <w:jc w:val="right"/>
        <w:rPr>
          <w:sz w:val="28"/>
          <w:szCs w:val="28"/>
        </w:rPr>
      </w:pPr>
    </w:p>
    <w:p w14:paraId="4AA4EB93" w14:textId="77777777" w:rsidR="00A02BC4" w:rsidRPr="00CD5B93" w:rsidRDefault="00A02BC4" w:rsidP="00A02BC4">
      <w:pPr>
        <w:shd w:val="clear" w:color="auto" w:fill="FFFFFF"/>
        <w:tabs>
          <w:tab w:val="left" w:pos="3374"/>
        </w:tabs>
        <w:ind w:firstLine="709"/>
        <w:jc w:val="center"/>
        <w:rPr>
          <w:b/>
          <w:bCs/>
          <w:color w:val="000000"/>
          <w:spacing w:val="-6"/>
          <w:sz w:val="28"/>
          <w:szCs w:val="28"/>
        </w:rPr>
      </w:pPr>
      <w:r w:rsidRPr="00CD5B93">
        <w:rPr>
          <w:b/>
          <w:bCs/>
          <w:color w:val="000000"/>
          <w:spacing w:val="-6"/>
          <w:sz w:val="28"/>
          <w:szCs w:val="28"/>
        </w:rPr>
        <w:t>Смоленская область</w:t>
      </w:r>
    </w:p>
    <w:p w14:paraId="33EE38F9" w14:textId="77777777" w:rsidR="00A02BC4" w:rsidRPr="00791167" w:rsidRDefault="00A02BC4" w:rsidP="00A02BC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 w:rsidRPr="00791167">
        <w:rPr>
          <w:b/>
          <w:sz w:val="28"/>
          <w:szCs w:val="28"/>
        </w:rPr>
        <w:t xml:space="preserve">Гагаринская </w:t>
      </w:r>
      <w:r>
        <w:rPr>
          <w:b/>
          <w:sz w:val="28"/>
          <w:szCs w:val="28"/>
        </w:rPr>
        <w:t>окружная</w:t>
      </w:r>
      <w:r w:rsidRPr="00791167">
        <w:rPr>
          <w:b/>
          <w:sz w:val="28"/>
          <w:szCs w:val="28"/>
        </w:rPr>
        <w:t xml:space="preserve"> Дума</w:t>
      </w:r>
    </w:p>
    <w:p w14:paraId="550C88BD" w14:textId="77777777" w:rsidR="00A02BC4" w:rsidRDefault="00A02BC4" w:rsidP="00A02BC4">
      <w:pPr>
        <w:pStyle w:val="2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14:paraId="5CE6A428" w14:textId="77777777" w:rsidR="00A02BC4" w:rsidRDefault="00A02BC4" w:rsidP="00A02BC4">
      <w:pPr>
        <w:pStyle w:val="2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3E19E0">
        <w:rPr>
          <w:sz w:val="28"/>
          <w:szCs w:val="28"/>
        </w:rPr>
        <w:t>Р Е Ш Е Н И Е</w:t>
      </w:r>
    </w:p>
    <w:p w14:paraId="17348925" w14:textId="77777777" w:rsidR="00A02BC4" w:rsidRPr="00C21F75" w:rsidRDefault="00A02BC4" w:rsidP="00A02BC4"/>
    <w:p w14:paraId="557E1885" w14:textId="77777777" w:rsidR="00A02BC4" w:rsidRDefault="00A02BC4" w:rsidP="00A02BC4"/>
    <w:p w14:paraId="617F9C7A" w14:textId="72242B6D" w:rsidR="00A02BC4" w:rsidRPr="00D3678B" w:rsidRDefault="00A02BC4" w:rsidP="00A02BC4">
      <w:pPr>
        <w:pStyle w:val="6"/>
        <w:ind w:left="-284"/>
        <w:rPr>
          <w:u w:val="none"/>
        </w:rPr>
      </w:pPr>
      <w:r>
        <w:rPr>
          <w:u w:val="none"/>
        </w:rPr>
        <w:t xml:space="preserve">от 16 декабря 2024 </w:t>
      </w:r>
      <w:r w:rsidRPr="00D3678B">
        <w:rPr>
          <w:u w:val="none"/>
        </w:rPr>
        <w:t xml:space="preserve">года                                                       </w:t>
      </w:r>
      <w:r>
        <w:rPr>
          <w:u w:val="none"/>
        </w:rPr>
        <w:t xml:space="preserve">           </w:t>
      </w:r>
      <w:r w:rsidRPr="00D3678B">
        <w:rPr>
          <w:u w:val="none"/>
        </w:rPr>
        <w:t xml:space="preserve">  </w:t>
      </w:r>
      <w:r>
        <w:rPr>
          <w:u w:val="none"/>
        </w:rPr>
        <w:t xml:space="preserve">        </w:t>
      </w:r>
      <w:r w:rsidRPr="00D3678B">
        <w:rPr>
          <w:u w:val="none"/>
        </w:rPr>
        <w:t xml:space="preserve">  </w:t>
      </w:r>
      <w:r>
        <w:rPr>
          <w:u w:val="none"/>
        </w:rPr>
        <w:t xml:space="preserve">      №</w:t>
      </w:r>
      <w:r>
        <w:rPr>
          <w:u w:val="none"/>
        </w:rPr>
        <w:t>56</w:t>
      </w:r>
    </w:p>
    <w:p w14:paraId="1B09ACA3" w14:textId="77777777" w:rsidR="00F5527C" w:rsidRDefault="00F5527C" w:rsidP="00F5527C"/>
    <w:p w14:paraId="5D30B33E" w14:textId="77777777" w:rsidR="00F5527C" w:rsidRDefault="00F5527C" w:rsidP="000117E6">
      <w:pPr>
        <w:pStyle w:val="4"/>
        <w:spacing w:before="0" w:after="0"/>
        <w:ind w:left="-426" w:right="4805"/>
        <w:jc w:val="both"/>
      </w:pPr>
      <w:r>
        <w:t xml:space="preserve">О бюджете муниципального образования «Гагаринский </w:t>
      </w:r>
      <w:r>
        <w:rPr>
          <w:szCs w:val="22"/>
          <w:lang w:eastAsia="en-US"/>
        </w:rPr>
        <w:t>муниципальный округ</w:t>
      </w:r>
      <w:r>
        <w:t>» Смоленской области на 2025 год и на плановый период 2026 и 2027 годов</w:t>
      </w:r>
    </w:p>
    <w:p w14:paraId="30593D0C" w14:textId="77777777" w:rsidR="00F5527C" w:rsidRDefault="00F5527C" w:rsidP="00F5527C">
      <w:pPr>
        <w:ind w:right="4805"/>
        <w:rPr>
          <w:sz w:val="28"/>
          <w:szCs w:val="28"/>
        </w:rPr>
      </w:pPr>
    </w:p>
    <w:p w14:paraId="6A87C1EF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Законом Смоленской области от 10.06.2024 №125-з «О преобразовании муниципальных образований, входящих в состав муниципального образования «Гагаринский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округа), решением Гагаринской окружной Думы от 24.10.2024       №34 «Об утверждении Положения о бюджетном процессе в муниципальном образовании «Гагаринский муниципальный округ» Смоленской области», рассмотрев проект решения «О бюджете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 на 2025 год и на плановый период 2026 и 2027 годов», Гагаринская окружная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Дума</w:t>
      </w:r>
    </w:p>
    <w:p w14:paraId="7527E016" w14:textId="77777777" w:rsidR="00F5527C" w:rsidRDefault="00F5527C" w:rsidP="00A02BC4">
      <w:pPr>
        <w:ind w:left="-567" w:right="-285" w:firstLine="567"/>
        <w:rPr>
          <w:b/>
          <w:sz w:val="28"/>
          <w:szCs w:val="28"/>
        </w:rPr>
      </w:pPr>
    </w:p>
    <w:p w14:paraId="15CCAC46" w14:textId="77777777" w:rsidR="00F5527C" w:rsidRDefault="00F5527C" w:rsidP="00A02BC4">
      <w:pPr>
        <w:ind w:left="-567" w:right="-285" w:firstLine="567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14:paraId="67F9ABB4" w14:textId="77777777" w:rsidR="00F5527C" w:rsidRDefault="00F5527C" w:rsidP="00A02BC4">
      <w:pPr>
        <w:widowControl w:val="0"/>
        <w:ind w:left="-567" w:right="-285" w:firstLine="567"/>
        <w:jc w:val="both"/>
        <w:rPr>
          <w:sz w:val="28"/>
          <w:szCs w:val="28"/>
        </w:rPr>
      </w:pPr>
    </w:p>
    <w:p w14:paraId="703D1405" w14:textId="77777777" w:rsidR="00F5527C" w:rsidRDefault="00F5527C" w:rsidP="00A02BC4">
      <w:pPr>
        <w:widowControl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Утвердить основные характеристики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 на 2025 год:</w:t>
      </w:r>
    </w:p>
    <w:p w14:paraId="7235F8C7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общий объем доходов бюджета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в сумме </w:t>
      </w:r>
      <w:r>
        <w:rPr>
          <w:rFonts w:ascii="Times New Roman" w:hAnsi="Times New Roman"/>
          <w:b/>
          <w:sz w:val="28"/>
          <w:szCs w:val="28"/>
        </w:rPr>
        <w:t xml:space="preserve">1 383 643,3 </w:t>
      </w:r>
      <w:r>
        <w:rPr>
          <w:rFonts w:ascii="Times New Roman" w:hAnsi="Times New Roman"/>
          <w:sz w:val="28"/>
          <w:szCs w:val="28"/>
        </w:rPr>
        <w:t xml:space="preserve">тыс. рублей, в том числе объем безвозмездных поступлений в сумме </w:t>
      </w:r>
      <w:r>
        <w:rPr>
          <w:rFonts w:ascii="Times New Roman" w:hAnsi="Times New Roman"/>
          <w:b/>
          <w:sz w:val="28"/>
          <w:szCs w:val="28"/>
        </w:rPr>
        <w:t xml:space="preserve">676 537,9 </w:t>
      </w:r>
      <w:r>
        <w:rPr>
          <w:rFonts w:ascii="Times New Roman" w:hAnsi="Times New Roman"/>
          <w:sz w:val="28"/>
          <w:szCs w:val="28"/>
        </w:rPr>
        <w:t xml:space="preserve">тыс. рублей, из которых объем получаемых межбюджетных трансфертов – </w:t>
      </w:r>
      <w:r>
        <w:rPr>
          <w:rFonts w:ascii="Times New Roman" w:hAnsi="Times New Roman"/>
          <w:b/>
          <w:sz w:val="28"/>
          <w:szCs w:val="28"/>
        </w:rPr>
        <w:t xml:space="preserve">676 537,9 </w:t>
      </w:r>
      <w:r>
        <w:rPr>
          <w:rFonts w:ascii="Times New Roman" w:hAnsi="Times New Roman"/>
          <w:sz w:val="28"/>
          <w:szCs w:val="28"/>
        </w:rPr>
        <w:t>тыс. рублей;</w:t>
      </w:r>
    </w:p>
    <w:p w14:paraId="1B95D8F7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 общий объем расходов бюджета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в сумме </w:t>
      </w:r>
      <w:r>
        <w:rPr>
          <w:rFonts w:ascii="Times New Roman" w:hAnsi="Times New Roman"/>
          <w:b/>
          <w:color w:val="000000"/>
          <w:sz w:val="28"/>
          <w:szCs w:val="28"/>
        </w:rPr>
        <w:t>1 381</w:t>
      </w:r>
      <w:r>
        <w:rPr>
          <w:rFonts w:ascii="Times New Roman" w:hAnsi="Times New Roman"/>
          <w:b/>
          <w:color w:val="000000"/>
          <w:sz w:val="28"/>
          <w:szCs w:val="28"/>
          <w:lang w:val="en-US"/>
        </w:rPr>
        <w:t> </w:t>
      </w:r>
      <w:r>
        <w:rPr>
          <w:rFonts w:ascii="Times New Roman" w:hAnsi="Times New Roman"/>
          <w:b/>
          <w:color w:val="000000"/>
          <w:sz w:val="28"/>
          <w:szCs w:val="28"/>
        </w:rPr>
        <w:t>518,3</w:t>
      </w:r>
      <w:r>
        <w:rPr>
          <w:rFonts w:ascii="Times New Roman" w:hAnsi="Times New Roman"/>
          <w:b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тыс. рублей;</w:t>
      </w:r>
    </w:p>
    <w:p w14:paraId="5EB13A25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 </w:t>
      </w:r>
      <w:r>
        <w:rPr>
          <w:color w:val="000000"/>
          <w:sz w:val="28"/>
          <w:szCs w:val="28"/>
        </w:rPr>
        <w:t>профицит</w:t>
      </w:r>
      <w:r>
        <w:rPr>
          <w:sz w:val="28"/>
          <w:szCs w:val="28"/>
        </w:rPr>
        <w:t xml:space="preserve">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 xml:space="preserve">» Смоленской области в сумме </w:t>
      </w:r>
      <w:r>
        <w:rPr>
          <w:b/>
          <w:color w:val="000000"/>
          <w:sz w:val="28"/>
          <w:szCs w:val="28"/>
        </w:rPr>
        <w:t>2</w:t>
      </w:r>
      <w:r>
        <w:rPr>
          <w:b/>
          <w:color w:val="000000"/>
          <w:sz w:val="28"/>
          <w:szCs w:val="28"/>
          <w:lang w:val="en-US"/>
        </w:rPr>
        <w:t> </w:t>
      </w:r>
      <w:r>
        <w:rPr>
          <w:b/>
          <w:color w:val="000000"/>
          <w:sz w:val="28"/>
          <w:szCs w:val="28"/>
        </w:rPr>
        <w:t>125,0</w:t>
      </w:r>
      <w:r>
        <w:rPr>
          <w:b/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тыс. рублей.</w:t>
      </w:r>
    </w:p>
    <w:p w14:paraId="5010830B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Утвердить основные характеристики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 на плановый период 2026 и 2027 годов:</w:t>
      </w:r>
    </w:p>
    <w:p w14:paraId="24802287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1) общий объем доходов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 xml:space="preserve">» Смоленской области на 2026 год в сумме </w:t>
      </w:r>
      <w:r>
        <w:rPr>
          <w:b/>
          <w:sz w:val="28"/>
          <w:szCs w:val="28"/>
        </w:rPr>
        <w:t xml:space="preserve">1 347 174,9 </w:t>
      </w:r>
      <w:r>
        <w:rPr>
          <w:sz w:val="28"/>
          <w:szCs w:val="28"/>
        </w:rPr>
        <w:t xml:space="preserve">тыс. рублей, в том числе объем безвозмездных поступлений в сумме </w:t>
      </w:r>
      <w:r>
        <w:rPr>
          <w:b/>
          <w:sz w:val="28"/>
          <w:szCs w:val="28"/>
        </w:rPr>
        <w:t xml:space="preserve">595 030,1 </w:t>
      </w:r>
      <w:r>
        <w:rPr>
          <w:sz w:val="28"/>
          <w:szCs w:val="28"/>
        </w:rPr>
        <w:t xml:space="preserve">тыс. рублей, из которых объем получаемых межбюджетных трансфертов – </w:t>
      </w:r>
      <w:r>
        <w:rPr>
          <w:b/>
          <w:sz w:val="28"/>
          <w:szCs w:val="28"/>
        </w:rPr>
        <w:t xml:space="preserve">595 030,1 </w:t>
      </w:r>
      <w:r>
        <w:rPr>
          <w:sz w:val="28"/>
          <w:szCs w:val="28"/>
        </w:rPr>
        <w:t xml:space="preserve">тыс. рублей, и на 2027 год в сумме </w:t>
      </w:r>
      <w:r>
        <w:rPr>
          <w:b/>
          <w:sz w:val="28"/>
          <w:szCs w:val="28"/>
        </w:rPr>
        <w:t>1 376 963,2</w:t>
      </w:r>
      <w:r>
        <w:rPr>
          <w:sz w:val="28"/>
          <w:szCs w:val="28"/>
        </w:rPr>
        <w:t xml:space="preserve"> тыс. рублей, в том числе объем безвозмездных поступлений в сумме </w:t>
      </w:r>
      <w:r>
        <w:rPr>
          <w:b/>
          <w:sz w:val="28"/>
          <w:szCs w:val="28"/>
        </w:rPr>
        <w:t xml:space="preserve">611 631,8 </w:t>
      </w:r>
      <w:r>
        <w:rPr>
          <w:sz w:val="28"/>
          <w:szCs w:val="28"/>
        </w:rPr>
        <w:t xml:space="preserve">тыс. рублей, из которых объем получаемых межбюджетных трансфертов – </w:t>
      </w:r>
      <w:r>
        <w:rPr>
          <w:b/>
          <w:sz w:val="28"/>
          <w:szCs w:val="28"/>
        </w:rPr>
        <w:t xml:space="preserve">611 631,8 </w:t>
      </w:r>
      <w:r>
        <w:rPr>
          <w:sz w:val="28"/>
          <w:szCs w:val="28"/>
        </w:rPr>
        <w:t>тыс. рублей;</w:t>
      </w:r>
    </w:p>
    <w:p w14:paraId="62B94D3D" w14:textId="77777777" w:rsidR="00F5527C" w:rsidRDefault="00F5527C" w:rsidP="00A02BC4">
      <w:pPr>
        <w:pStyle w:val="ConsPlusNormal"/>
        <w:ind w:left="-567" w:right="-285"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 общий объем расходов бюджета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«Гагаринский </w:t>
      </w:r>
      <w:r>
        <w:rPr>
          <w:rFonts w:ascii="Times New Roman" w:hAnsi="Times New Roman" w:cs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на 2026 год в сумме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1 307 930,9</w:t>
      </w:r>
      <w:r>
        <w:rPr>
          <w:rFonts w:ascii="Times New Roman" w:hAnsi="Times New Roman" w:cs="Times New Roman"/>
          <w:sz w:val="28"/>
          <w:szCs w:val="28"/>
        </w:rPr>
        <w:t xml:space="preserve"> тыс. </w:t>
      </w:r>
      <w:r>
        <w:rPr>
          <w:rFonts w:ascii="Times New Roman" w:hAnsi="Times New Roman"/>
          <w:sz w:val="28"/>
          <w:szCs w:val="28"/>
        </w:rPr>
        <w:t xml:space="preserve">рублей, в том числе условно утвержденные расходы (без учета расходов бюджета муниципального образования «Гагаринский </w:t>
      </w:r>
      <w:r>
        <w:rPr>
          <w:rFonts w:ascii="Times New Roman" w:hAnsi="Times New Roman" w:cs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области, предусмотренных за счет межбюджетных трансфертов из других бюджетов бюджетной системы Российской Федерации, имеющих целевое назначение) в сумме </w:t>
      </w:r>
      <w:r>
        <w:rPr>
          <w:rFonts w:ascii="Times New Roman" w:hAnsi="Times New Roman"/>
          <w:b/>
          <w:color w:val="000000"/>
          <w:sz w:val="28"/>
          <w:szCs w:val="28"/>
        </w:rPr>
        <w:t>17 900,0</w:t>
      </w:r>
      <w:r>
        <w:rPr>
          <w:rFonts w:ascii="Times New Roman" w:hAnsi="Times New Roman"/>
          <w:sz w:val="28"/>
          <w:szCs w:val="28"/>
        </w:rPr>
        <w:t xml:space="preserve"> тыс. рублей,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на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2027 год в сумме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1 337 719,2</w:t>
      </w:r>
      <w:r>
        <w:rPr>
          <w:rFonts w:ascii="Times New Roman" w:hAnsi="Times New Roman" w:cs="Times New Roman"/>
          <w:sz w:val="28"/>
          <w:szCs w:val="28"/>
        </w:rPr>
        <w:t xml:space="preserve"> тыс. рублей, </w:t>
      </w:r>
      <w:r>
        <w:rPr>
          <w:rFonts w:ascii="Times New Roman" w:hAnsi="Times New Roman"/>
          <w:sz w:val="28"/>
          <w:szCs w:val="28"/>
        </w:rPr>
        <w:t xml:space="preserve">в том числе условно утвержденные расходы (без учета расходов бюджета муниципального образования «Гагаринский </w:t>
      </w:r>
      <w:r>
        <w:rPr>
          <w:rFonts w:ascii="Times New Roman" w:hAnsi="Times New Roman" w:cs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области, предусмотренных за счет межбюджетных трансфертов из других бюджетов бюджетной системы Российской Федерации, имеющих целевое назначение)</w:t>
      </w:r>
      <w:r>
        <w:rPr>
          <w:rFonts w:ascii="Times New Roman" w:hAnsi="Times New Roman" w:cs="Times New Roman"/>
          <w:sz w:val="28"/>
          <w:szCs w:val="28"/>
        </w:rPr>
        <w:t xml:space="preserve"> в сумме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36 400,0</w:t>
      </w:r>
      <w:r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79D4FFD6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color w:val="FF0000"/>
          <w:sz w:val="28"/>
          <w:szCs w:val="28"/>
        </w:rPr>
      </w:pPr>
      <w:r>
        <w:rPr>
          <w:sz w:val="28"/>
          <w:szCs w:val="28"/>
        </w:rPr>
        <w:t>3) </w:t>
      </w:r>
      <w:r>
        <w:rPr>
          <w:color w:val="000000"/>
          <w:sz w:val="28"/>
          <w:szCs w:val="28"/>
        </w:rPr>
        <w:t>профицит</w:t>
      </w:r>
      <w:r>
        <w:rPr>
          <w:sz w:val="28"/>
          <w:szCs w:val="28"/>
        </w:rPr>
        <w:t xml:space="preserve">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 xml:space="preserve">» Смоленской области на 2026 год в сумме </w:t>
      </w:r>
      <w:r>
        <w:rPr>
          <w:b/>
          <w:color w:val="000000"/>
          <w:sz w:val="28"/>
          <w:szCs w:val="28"/>
        </w:rPr>
        <w:t>39 244,0</w:t>
      </w:r>
      <w:r>
        <w:rPr>
          <w:sz w:val="28"/>
          <w:szCs w:val="28"/>
        </w:rPr>
        <w:t xml:space="preserve"> тыс. рублей, профицит на 2027 год в сумме </w:t>
      </w:r>
      <w:r>
        <w:rPr>
          <w:b/>
          <w:color w:val="000000"/>
          <w:sz w:val="28"/>
          <w:szCs w:val="28"/>
        </w:rPr>
        <w:t>39 244,0</w:t>
      </w:r>
      <w:r>
        <w:rPr>
          <w:sz w:val="28"/>
          <w:szCs w:val="28"/>
        </w:rPr>
        <w:t xml:space="preserve"> тыс. рублей.</w:t>
      </w:r>
    </w:p>
    <w:p w14:paraId="7B67BD68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Утвердить источники финансирования дефицита бюджета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области:</w:t>
      </w:r>
    </w:p>
    <w:p w14:paraId="55DA4AF9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1) на 2025 год согласно приложению 1 к настоящему решению;</w:t>
      </w:r>
    </w:p>
    <w:p w14:paraId="327B069A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 на плановый период 2026 и 2027 годов согласно приложению 2 к настоящему решению.</w:t>
      </w:r>
    </w:p>
    <w:p w14:paraId="34B91B1C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4. Установить, что в бюджет муниципального образования «Гагаринский муниципальный округ» Смоленской области на 2025 год и на плановый период 2026 и 2027 годов перечисляется часть прибыли муниципальных унитарных предприятий, остающаяся в их распоряжении после уплаты налогов и иных обязательных платежей, в размере 30 процентов по итогам отчетного периода.</w:t>
      </w:r>
    </w:p>
    <w:p w14:paraId="3C51E0DB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 Утвердить прогнозируемые доходы бюджета муниципального образования «Гагаринский муниципальный округ» Смоленской области, за исключением безвозмездных поступлений:</w:t>
      </w:r>
    </w:p>
    <w:p w14:paraId="2C2C09AD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на 2025 год согласно приложению 3 к настоящему решению;</w:t>
      </w:r>
    </w:p>
    <w:p w14:paraId="307BFCB4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на плановый период 2026 и 2027 годов согласно приложению 4 к настоящему решению.</w:t>
      </w:r>
    </w:p>
    <w:p w14:paraId="1F9A4A7A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</w:t>
      </w:r>
      <w:r>
        <w:rPr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Утвердить прогнозируемые безвозмездные поступления в бюджет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области:</w:t>
      </w:r>
    </w:p>
    <w:p w14:paraId="7D27EFED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1) на 2025 год согласно приложению 5 к настоящему решению;</w:t>
      </w:r>
    </w:p>
    <w:p w14:paraId="002C4D7D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 на плановый период 2026 и 2027 годов согласно приложению 6 к настоящему решению.</w:t>
      </w:r>
    </w:p>
    <w:p w14:paraId="3EA56796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Утвердить 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бюджетов:</w:t>
      </w:r>
    </w:p>
    <w:p w14:paraId="6A83C1A7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1) на 2025 год согласно приложению 7 к настоящему решению;</w:t>
      </w:r>
    </w:p>
    <w:p w14:paraId="5BA91BED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 на плановый период 2026 и 2027 годов согласно приложению 8 к настоящему решению.</w:t>
      </w:r>
    </w:p>
    <w:p w14:paraId="01A14165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 Утвердить 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бюджетов:</w:t>
      </w:r>
    </w:p>
    <w:p w14:paraId="2256818E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1) на 2025 год согласно приложению 9 к настоящему решению;</w:t>
      </w:r>
    </w:p>
    <w:p w14:paraId="6BB4F176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 на плановый период 2026 и 2027 годов согласно приложению 10 к настоящему решению.</w:t>
      </w:r>
    </w:p>
    <w:p w14:paraId="17A02F26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Утвердить ведомственную структуру расходов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 (распределение бюджетных ассигнований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бюджетов):</w:t>
      </w:r>
    </w:p>
    <w:p w14:paraId="773D76A1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1) на 2025 год согласно приложению 11 к настоящему решению;</w:t>
      </w:r>
    </w:p>
    <w:p w14:paraId="0BFCF6AD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 на плановый период 2026 и 2027 годов согласно приложению 12 к настоящему решению.</w:t>
      </w:r>
    </w:p>
    <w:p w14:paraId="02900BD1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10. Утвердить общий объем бюджетных ассигнований, направляемых на исполнение публичных нормативных обязательств, в 2025 году в сумме </w:t>
      </w:r>
      <w:r>
        <w:rPr>
          <w:b/>
          <w:color w:val="000000"/>
          <w:sz w:val="28"/>
          <w:szCs w:val="28"/>
        </w:rPr>
        <w:t>30 043,3</w:t>
      </w:r>
      <w:r>
        <w:rPr>
          <w:sz w:val="28"/>
          <w:szCs w:val="28"/>
        </w:rPr>
        <w:t xml:space="preserve"> тыс. рублей, в 2026 году в сумме </w:t>
      </w:r>
      <w:r>
        <w:rPr>
          <w:b/>
          <w:color w:val="000000"/>
          <w:sz w:val="28"/>
          <w:szCs w:val="28"/>
        </w:rPr>
        <w:t>30 043,3</w:t>
      </w:r>
      <w:r>
        <w:rPr>
          <w:sz w:val="28"/>
          <w:szCs w:val="28"/>
        </w:rPr>
        <w:t xml:space="preserve"> тыс. рублей, в 2027 году в сумме </w:t>
      </w:r>
      <w:r>
        <w:rPr>
          <w:b/>
          <w:color w:val="000000"/>
          <w:sz w:val="28"/>
          <w:szCs w:val="28"/>
        </w:rPr>
        <w:t>30 043,3</w:t>
      </w:r>
      <w:r>
        <w:rPr>
          <w:sz w:val="28"/>
          <w:szCs w:val="28"/>
        </w:rPr>
        <w:t xml:space="preserve"> тыс. рублей.</w:t>
      </w:r>
    </w:p>
    <w:p w14:paraId="6B21F08B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11. Утвердить объем бюджетных ассигнований на финансовое обеспечение реализации муниципальных программ в 2025 году в сумме </w:t>
      </w:r>
      <w:r>
        <w:rPr>
          <w:b/>
          <w:color w:val="000000"/>
          <w:sz w:val="28"/>
          <w:szCs w:val="28"/>
        </w:rPr>
        <w:t>1 361 945,7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рублей, в 2026 году в сумме </w:t>
      </w:r>
      <w:r>
        <w:rPr>
          <w:b/>
          <w:color w:val="000000"/>
          <w:sz w:val="28"/>
          <w:szCs w:val="28"/>
        </w:rPr>
        <w:t xml:space="preserve">1 274 945,0 </w:t>
      </w:r>
      <w:r>
        <w:rPr>
          <w:sz w:val="28"/>
          <w:szCs w:val="28"/>
        </w:rPr>
        <w:t xml:space="preserve">тыс. рублей, в 2027 году в сумме </w:t>
      </w:r>
      <w:r>
        <w:rPr>
          <w:b/>
          <w:color w:val="000000"/>
          <w:sz w:val="28"/>
          <w:szCs w:val="28"/>
        </w:rPr>
        <w:t>1 286 581,8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тыс. рублей.</w:t>
      </w:r>
    </w:p>
    <w:p w14:paraId="1015F75E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распределение бюджетных ассигнований по муниципальным программам и непрограммным направлениям деятельности:</w:t>
      </w:r>
    </w:p>
    <w:p w14:paraId="35BF86B9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1) на 2025 год согласно приложению 13 к настоящему решению;</w:t>
      </w:r>
    </w:p>
    <w:p w14:paraId="0FA03C2E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 на плановый период 2026 и 2027 годов согласно приложению 14 к настоящему решению.</w:t>
      </w:r>
    </w:p>
    <w:p w14:paraId="11316371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bCs/>
          <w:sz w:val="28"/>
          <w:szCs w:val="28"/>
        </w:rPr>
      </w:pPr>
      <w:r>
        <w:rPr>
          <w:sz w:val="28"/>
          <w:szCs w:val="28"/>
        </w:rPr>
        <w:t xml:space="preserve">12. Утвердить прогнозируемый объем доходов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 в части доходов, установленных решением Гагаринской окружной Думы от 24.10.2024 № 34</w:t>
      </w:r>
      <w:r>
        <w:rPr>
          <w:color w:val="FF0000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«О создании муниципального дорожного фонда муниципального округа и </w:t>
      </w:r>
      <w:r>
        <w:rPr>
          <w:bCs/>
          <w:sz w:val="28"/>
          <w:szCs w:val="28"/>
        </w:rPr>
        <w:lastRenderedPageBreak/>
        <w:t xml:space="preserve">утверждении Положения о порядке формирования и использования муниципального дорожного фонда муниципального округа»: </w:t>
      </w:r>
    </w:p>
    <w:p w14:paraId="2EC09867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1) в 2025 году в сумме </w:t>
      </w:r>
      <w:r>
        <w:rPr>
          <w:b/>
          <w:bCs/>
          <w:sz w:val="28"/>
          <w:szCs w:val="28"/>
        </w:rPr>
        <w:t>29 467,3</w:t>
      </w:r>
      <w:r>
        <w:rPr>
          <w:bCs/>
          <w:sz w:val="28"/>
          <w:szCs w:val="28"/>
        </w:rPr>
        <w:t xml:space="preserve"> тыс. рублей согласно приложению 15 к настоящему решению;</w:t>
      </w:r>
    </w:p>
    <w:p w14:paraId="2DA383A8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2) </w:t>
      </w:r>
      <w:r>
        <w:rPr>
          <w:sz w:val="28"/>
          <w:szCs w:val="28"/>
        </w:rPr>
        <w:t xml:space="preserve">на плановый период 2026 и 2027 годов, согласно приложению 16 к настоящему решению на 2026 год в размере </w:t>
      </w:r>
      <w:r>
        <w:rPr>
          <w:b/>
          <w:sz w:val="28"/>
          <w:szCs w:val="28"/>
        </w:rPr>
        <w:t>29 684,5</w:t>
      </w:r>
      <w:r>
        <w:rPr>
          <w:sz w:val="28"/>
          <w:szCs w:val="28"/>
        </w:rPr>
        <w:t xml:space="preserve"> тыс. рублей и на 2027 год в размере </w:t>
      </w:r>
      <w:r>
        <w:rPr>
          <w:b/>
          <w:sz w:val="28"/>
          <w:szCs w:val="28"/>
        </w:rPr>
        <w:t xml:space="preserve">38 549,0 </w:t>
      </w:r>
      <w:r>
        <w:rPr>
          <w:sz w:val="28"/>
          <w:szCs w:val="28"/>
        </w:rPr>
        <w:t>тыс. рублей.</w:t>
      </w:r>
    </w:p>
    <w:p w14:paraId="74FE8E82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</w:rPr>
        <w:t xml:space="preserve">Утвердить в составе расходов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</w:rPr>
        <w:t>» Смоленской области объем бюджетных ассигнований дорожного фонда муниципального образования</w:t>
      </w:r>
      <w:r>
        <w:rPr>
          <w:sz w:val="28"/>
          <w:szCs w:val="28"/>
        </w:rPr>
        <w:t xml:space="preserve">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области:</w:t>
      </w:r>
    </w:p>
    <w:p w14:paraId="64AE0032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1) на 2025 год в сумме </w:t>
      </w:r>
      <w:r>
        <w:rPr>
          <w:b/>
          <w:color w:val="000000"/>
          <w:sz w:val="28"/>
          <w:szCs w:val="28"/>
        </w:rPr>
        <w:t>29 467,3</w:t>
      </w:r>
      <w:r>
        <w:rPr>
          <w:sz w:val="28"/>
          <w:szCs w:val="28"/>
        </w:rPr>
        <w:t xml:space="preserve"> тыс. рублей;</w:t>
      </w:r>
    </w:p>
    <w:p w14:paraId="024A5875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2) на 2026 год в сумме </w:t>
      </w:r>
      <w:r>
        <w:rPr>
          <w:b/>
          <w:color w:val="000000"/>
          <w:sz w:val="28"/>
          <w:szCs w:val="28"/>
        </w:rPr>
        <w:t>29 684,5</w:t>
      </w:r>
      <w:r>
        <w:rPr>
          <w:color w:val="000000"/>
          <w:sz w:val="28"/>
          <w:szCs w:val="28"/>
        </w:rPr>
        <w:t xml:space="preserve"> тыс. рублей;</w:t>
      </w:r>
    </w:p>
    <w:p w14:paraId="79302F42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3) на 2027 год в сумме </w:t>
      </w:r>
      <w:r>
        <w:rPr>
          <w:b/>
          <w:color w:val="000000"/>
          <w:sz w:val="28"/>
          <w:szCs w:val="28"/>
        </w:rPr>
        <w:t>38 549,0</w:t>
      </w:r>
      <w:r>
        <w:rPr>
          <w:sz w:val="28"/>
          <w:szCs w:val="28"/>
        </w:rPr>
        <w:t xml:space="preserve"> тыс. рублей.</w:t>
      </w:r>
    </w:p>
    <w:p w14:paraId="4891DE01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13. Утвердить цели предоставления субсидий лицам, указанным в статье 78 Бюджетного кодекса Российской Федерации, объем бюджетных ассигнований на предоставление конкретной субсидии:</w:t>
      </w:r>
    </w:p>
    <w:p w14:paraId="1EFEB3D7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1) в 2025 году согласно приложению 17 к настоящему решению;</w:t>
      </w:r>
    </w:p>
    <w:p w14:paraId="2C461307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2) в плановом периоде 2026 и 2027 годов согласно приложению 18 к настоящему решению.</w:t>
      </w:r>
    </w:p>
    <w:p w14:paraId="1754B7CE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Категории и (или) критерии отбора юридических лиц (за исключением государственных (муниципальных) учреждений), индивидуальных предпринимателей, физических лиц – производителей товаров, работ, услуг, имеющих право на получение субсидий, указанных в настоящем пункте, условия и порядок предоставления субсидий указанным лицам, а также результаты их предоставления, порядок возврата субсидий в случае нарушения условий, установленных при их предоставлении, случаи и порядок возврата в текущем финансовом году получателем субсидий остатков субсидий, предоставленных в целях финансового обеспечения затрат в связи с производством (реализацией) товаров, выполнением работ, оказанием услуг, не использованных в отчетном финансовом году (за исключением субсидий, предоставленных в пределах суммы, необходимой для оплаты денежных обязательств получателя субсидии, источником финансового обеспечения которых являются указанные субсидии), положения об осуществлении в отношении получателей субсидий и лиц, указанных в </w:t>
      </w:r>
      <w:hyperlink r:id="rId5" w:history="1">
        <w:r>
          <w:rPr>
            <w:rStyle w:val="a4"/>
            <w:sz w:val="28"/>
            <w:szCs w:val="28"/>
          </w:rPr>
          <w:t>пункте 5</w:t>
        </w:r>
      </w:hyperlink>
      <w:r>
        <w:rPr>
          <w:sz w:val="28"/>
          <w:szCs w:val="28"/>
        </w:rPr>
        <w:t xml:space="preserve"> статьи 78 Бюджетного кодекса Российской Федерации, проверок главным распорядителем (распорядителем) бюджетных средств, предоставляющим субсидии, соблюдения ими порядка и условий предоставления субсидий, в том числе в части достижения результатов их предоставления, а также проверок органами муниципального финансового контроля в соответствии со </w:t>
      </w:r>
      <w:hyperlink r:id="rId6" w:history="1">
        <w:r>
          <w:rPr>
            <w:rStyle w:val="a4"/>
            <w:sz w:val="28"/>
            <w:szCs w:val="28"/>
          </w:rPr>
          <w:t>статьями 268.1</w:t>
        </w:r>
      </w:hyperlink>
      <w:r>
        <w:rPr>
          <w:sz w:val="28"/>
          <w:szCs w:val="28"/>
        </w:rPr>
        <w:t xml:space="preserve"> и </w:t>
      </w:r>
      <w:hyperlink r:id="rId7" w:history="1">
        <w:r>
          <w:rPr>
            <w:rStyle w:val="a4"/>
            <w:sz w:val="28"/>
            <w:szCs w:val="28"/>
          </w:rPr>
          <w:t>269.2</w:t>
        </w:r>
      </w:hyperlink>
      <w:r>
        <w:rPr>
          <w:sz w:val="28"/>
          <w:szCs w:val="28"/>
        </w:rPr>
        <w:t xml:space="preserve"> Бюджетного кодекса Российской Федерации определяются нормативными правовыми актами Администрации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области.</w:t>
      </w:r>
    </w:p>
    <w:p w14:paraId="281C1F85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Утвердить цели предоставления субсидий некоммерческим организациям, не являющимся муниципальными бюджетными учреждениями, муниципальными </w:t>
      </w:r>
      <w:r>
        <w:rPr>
          <w:sz w:val="28"/>
          <w:szCs w:val="28"/>
        </w:rPr>
        <w:lastRenderedPageBreak/>
        <w:t>автономными учреждениями и муниципальными казенными учреждениями, объем бюджетных ассигнований на предоставление конкретной субсидии:</w:t>
      </w:r>
    </w:p>
    <w:p w14:paraId="59F2084F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1) в 2025 году согласно приложению 19 к настоящему решению;</w:t>
      </w:r>
    </w:p>
    <w:p w14:paraId="3535941E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2) в плановом периоде 2026 и 2027 годов согласно приложению 20 к настоящему решению.</w:t>
      </w:r>
    </w:p>
    <w:p w14:paraId="63801F6F" w14:textId="77777777" w:rsidR="00F5527C" w:rsidRDefault="00F5527C" w:rsidP="00A02BC4">
      <w:pPr>
        <w:pStyle w:val="ConsPlusNormal"/>
        <w:ind w:left="-567" w:right="-285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Порядок определения объема и предоставления субсидий из бюджета муниципального образования «Гагаринский </w:t>
      </w:r>
      <w:r>
        <w:rPr>
          <w:rFonts w:ascii="Times New Roman" w:hAnsi="Times New Roman" w:cs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Смоленской области некоммерческим организациям, не являющимся муниципальными бюджетными учреждениями и муниципальными автономными учреждениями, устанавливается нормативными правовыми актами Администрации муниципального образования «Гагаринский </w:t>
      </w:r>
      <w:r>
        <w:rPr>
          <w:rFonts w:ascii="Times New Roman" w:hAnsi="Times New Roman" w:cs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 w:cs="Times New Roman"/>
          <w:sz w:val="28"/>
          <w:szCs w:val="28"/>
        </w:rPr>
        <w:t>» Смоленской области.</w:t>
      </w:r>
    </w:p>
    <w:p w14:paraId="4542CBAD" w14:textId="77777777" w:rsidR="00F5527C" w:rsidRDefault="00F5527C" w:rsidP="00A02BC4">
      <w:pPr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Установить в соответствии со ст. 19 Федерального закона от 26.07.2006 № 135-ФЗ «О защите конкуренции» предоставление субсидии из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области:</w:t>
      </w:r>
    </w:p>
    <w:p w14:paraId="2E8C8A55" w14:textId="77777777" w:rsidR="00F5527C" w:rsidRDefault="00F5527C" w:rsidP="00A02BC4">
      <w:pPr>
        <w:ind w:left="-567" w:right="-28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Гагаринская районная организация Смоленской областной общественной организации Общероссийской общественной организации «Всероссийское общество инвалидов» на финансовое обеспечение затрат, связанных с осуществлением уставной деятельности, в 2025 году в сумме </w:t>
      </w:r>
      <w:r>
        <w:rPr>
          <w:b/>
          <w:color w:val="000000"/>
          <w:sz w:val="28"/>
          <w:szCs w:val="28"/>
        </w:rPr>
        <w:t>607,0</w:t>
      </w:r>
      <w:r>
        <w:rPr>
          <w:color w:val="000000"/>
          <w:sz w:val="28"/>
          <w:szCs w:val="28"/>
        </w:rPr>
        <w:t xml:space="preserve"> тыс. рублей, в 2026 году в сумме </w:t>
      </w:r>
      <w:r>
        <w:rPr>
          <w:b/>
          <w:color w:val="000000"/>
          <w:sz w:val="28"/>
          <w:szCs w:val="28"/>
        </w:rPr>
        <w:t>530,0</w:t>
      </w:r>
      <w:r>
        <w:rPr>
          <w:color w:val="000000"/>
          <w:sz w:val="28"/>
          <w:szCs w:val="28"/>
        </w:rPr>
        <w:t xml:space="preserve"> тыс. рублей, в 2027 году в сумме </w:t>
      </w:r>
      <w:r>
        <w:rPr>
          <w:b/>
          <w:color w:val="000000"/>
          <w:sz w:val="28"/>
          <w:szCs w:val="28"/>
        </w:rPr>
        <w:t>530,0</w:t>
      </w:r>
      <w:r>
        <w:rPr>
          <w:color w:val="000000"/>
          <w:sz w:val="28"/>
          <w:szCs w:val="28"/>
        </w:rPr>
        <w:t xml:space="preserve"> тыс. рублей;</w:t>
      </w:r>
    </w:p>
    <w:p w14:paraId="60A3BA97" w14:textId="77777777" w:rsidR="00F5527C" w:rsidRDefault="00F5527C" w:rsidP="00A02BC4">
      <w:pPr>
        <w:ind w:left="-567" w:right="-285" w:firstLine="567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- Гагаринская районная общественная организация Смоленской областной общественной организации ветеранов (пенсионеров) войны, труда, Вооруженных Сил и правоохранительных органов </w:t>
      </w:r>
      <w:r>
        <w:rPr>
          <w:color w:val="000000"/>
          <w:sz w:val="28"/>
          <w:szCs w:val="28"/>
        </w:rPr>
        <w:t xml:space="preserve">на финансовое обеспечение затрат, связанных с осуществлением уставной деятельности, в 2025 году в сумме </w:t>
      </w:r>
      <w:r>
        <w:rPr>
          <w:b/>
          <w:color w:val="000000"/>
          <w:sz w:val="28"/>
          <w:szCs w:val="28"/>
        </w:rPr>
        <w:t>270,0</w:t>
      </w:r>
      <w:r>
        <w:rPr>
          <w:color w:val="000000"/>
          <w:sz w:val="28"/>
          <w:szCs w:val="28"/>
        </w:rPr>
        <w:t xml:space="preserve"> тыс. рублей, в 2026 году в сумме </w:t>
      </w:r>
      <w:r>
        <w:rPr>
          <w:b/>
          <w:color w:val="000000"/>
          <w:sz w:val="28"/>
          <w:szCs w:val="28"/>
        </w:rPr>
        <w:t xml:space="preserve">250,0 </w:t>
      </w:r>
      <w:r>
        <w:rPr>
          <w:color w:val="000000"/>
          <w:sz w:val="28"/>
          <w:szCs w:val="28"/>
        </w:rPr>
        <w:t xml:space="preserve">тыс. рублей, в 2027 году в сумме </w:t>
      </w:r>
      <w:r>
        <w:rPr>
          <w:b/>
          <w:color w:val="000000"/>
          <w:sz w:val="28"/>
          <w:szCs w:val="28"/>
        </w:rPr>
        <w:t>250,0</w:t>
      </w:r>
      <w:r>
        <w:rPr>
          <w:color w:val="000000"/>
          <w:sz w:val="28"/>
          <w:szCs w:val="28"/>
        </w:rPr>
        <w:t xml:space="preserve"> тыс. рублей;</w:t>
      </w:r>
    </w:p>
    <w:p w14:paraId="043A1949" w14:textId="77777777" w:rsidR="00F5527C" w:rsidRDefault="00F5527C" w:rsidP="00A02BC4">
      <w:pPr>
        <w:ind w:left="-567" w:right="-28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Смоленское региональное отделение Общероссийской общественной организации инвалидов «Всероссийское общество глухих» на финансовое обеспечение затрат, связанных с осуществлением уставной деятельности, в 2025 году в сумме </w:t>
      </w:r>
      <w:r>
        <w:rPr>
          <w:b/>
          <w:color w:val="000000"/>
          <w:sz w:val="28"/>
          <w:szCs w:val="28"/>
        </w:rPr>
        <w:t>200,0</w:t>
      </w:r>
      <w:r>
        <w:rPr>
          <w:color w:val="000000"/>
          <w:sz w:val="28"/>
          <w:szCs w:val="28"/>
        </w:rPr>
        <w:t xml:space="preserve"> тыс. рублей, в 2026 году в сумме </w:t>
      </w:r>
      <w:r>
        <w:rPr>
          <w:b/>
          <w:color w:val="000000"/>
          <w:sz w:val="28"/>
          <w:szCs w:val="28"/>
        </w:rPr>
        <w:t>180,0</w:t>
      </w:r>
      <w:r>
        <w:rPr>
          <w:color w:val="000000"/>
          <w:sz w:val="28"/>
          <w:szCs w:val="28"/>
        </w:rPr>
        <w:t xml:space="preserve"> тыс. рублей, в 2027 году в сумме </w:t>
      </w:r>
      <w:r>
        <w:rPr>
          <w:b/>
          <w:color w:val="000000"/>
          <w:sz w:val="28"/>
          <w:szCs w:val="28"/>
        </w:rPr>
        <w:t>180,0</w:t>
      </w:r>
      <w:r>
        <w:rPr>
          <w:color w:val="000000"/>
          <w:sz w:val="28"/>
          <w:szCs w:val="28"/>
        </w:rPr>
        <w:t xml:space="preserve"> тыс. рублей;</w:t>
      </w:r>
    </w:p>
    <w:p w14:paraId="43E8C49C" w14:textId="77777777" w:rsidR="00F5527C" w:rsidRDefault="00F5527C" w:rsidP="00A02BC4">
      <w:pPr>
        <w:ind w:left="-567" w:right="-285" w:firstLine="567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- ГГКО «Станица Гжатская» на финансовое обеспечение затрат, связанных с проведением культурных мероприятий в 2025 году в сумме </w:t>
      </w:r>
      <w:r>
        <w:rPr>
          <w:b/>
          <w:sz w:val="28"/>
          <w:szCs w:val="28"/>
        </w:rPr>
        <w:t>67,0</w:t>
      </w:r>
      <w:r>
        <w:rPr>
          <w:sz w:val="28"/>
          <w:szCs w:val="28"/>
        </w:rPr>
        <w:t xml:space="preserve"> тыс. рублей, в 2026 году в сумме </w:t>
      </w:r>
      <w:r>
        <w:rPr>
          <w:b/>
          <w:sz w:val="28"/>
          <w:szCs w:val="28"/>
        </w:rPr>
        <w:t>67,0</w:t>
      </w:r>
      <w:r>
        <w:rPr>
          <w:sz w:val="28"/>
          <w:szCs w:val="28"/>
        </w:rPr>
        <w:t xml:space="preserve"> тыс. рублей, в 2027 году в сумме </w:t>
      </w:r>
      <w:r>
        <w:rPr>
          <w:b/>
          <w:sz w:val="28"/>
          <w:szCs w:val="28"/>
        </w:rPr>
        <w:t>67,0</w:t>
      </w:r>
      <w:r>
        <w:rPr>
          <w:sz w:val="28"/>
          <w:szCs w:val="28"/>
        </w:rPr>
        <w:t xml:space="preserve"> тыс. рублей.</w:t>
      </w:r>
    </w:p>
    <w:p w14:paraId="53CB6C43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15. В рамках реализации муниципальной программы «Развитие системы образования на территории муниципального образования «Гагаринский муниципальный округ» Смоленской области» утвердить объем бюджетных ассигнований на предоставление субсидии в целях финансового обеспечения исполнения муниципального социального заказа на оказание муниципальных услуг в социальной сфере:</w:t>
      </w:r>
    </w:p>
    <w:p w14:paraId="3E052D24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 в 2025 году в сумме 4,9 тыс. рублей, в 2026 году в сумме 4,9 тыс. рублей, в 2027 году в сумме 4,9 тыс. рублей;</w:t>
      </w:r>
    </w:p>
    <w:p w14:paraId="67A1A002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субсидии юридическим лицам (кроме некоммерческих организаций), индивидуальным предпринимателям, физическим лицам - производителям товаров, </w:t>
      </w:r>
      <w:r>
        <w:rPr>
          <w:color w:val="000000"/>
          <w:sz w:val="28"/>
          <w:szCs w:val="28"/>
        </w:rPr>
        <w:lastRenderedPageBreak/>
        <w:t>работ, услуг в 2025 году в сумме 4,9 тыс. рублей, в 2026 году в сумме 4,9 тыс. рублей, в 2027 году в сумме 4,9 тыс. рублей.</w:t>
      </w:r>
    </w:p>
    <w:p w14:paraId="3E845613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Условия и порядок предоставления субсидий из бюджета муниципального образования «Гагаринский муниципальный округ» Смоленской области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 и юридическим лицам (кроме некоммерческих организаций), индивидуальным предпринимателям, физическим лицам - производителям товаров, работ, услуг устанавливаются нормативными правовыми актами Администрации муниципального образования «Гагаринский муниципальный округ» Смоленской области.».</w:t>
      </w:r>
    </w:p>
    <w:p w14:paraId="75E6FF93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Утвердить объем бюджетных ассигнований на осуществление бюджетных инвестиций в форме капитальных вложений в объекты капитального строительства муниципальной собственности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 xml:space="preserve">» Смоленской области или приобретение объектов недвижимого имущества в муниципальную собственность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 xml:space="preserve">» Смоленской области в соответствии c решениями, принимаемыми в порядке, установленном Администрацией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области:</w:t>
      </w:r>
    </w:p>
    <w:p w14:paraId="39E7A117" w14:textId="77777777" w:rsidR="00F5527C" w:rsidRDefault="00F5527C" w:rsidP="00A02BC4">
      <w:pPr>
        <w:pStyle w:val="ConsNormal"/>
        <w:widowControl/>
        <w:spacing w:line="0" w:lineRule="atLeast"/>
        <w:ind w:left="-567" w:right="-285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на 2025 в сумме 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27 631,7 </w:t>
      </w:r>
      <w:r>
        <w:rPr>
          <w:rFonts w:ascii="Times New Roman" w:hAnsi="Times New Roman"/>
          <w:color w:val="000000"/>
          <w:sz w:val="28"/>
          <w:szCs w:val="28"/>
        </w:rPr>
        <w:t>тыс. рублей;</w:t>
      </w:r>
    </w:p>
    <w:p w14:paraId="061BBE69" w14:textId="77777777" w:rsidR="00F5527C" w:rsidRDefault="00F5527C" w:rsidP="00A02BC4">
      <w:pPr>
        <w:pStyle w:val="ConsNormal"/>
        <w:widowControl/>
        <w:spacing w:line="0" w:lineRule="atLeast"/>
        <w:ind w:left="-567" w:right="-285"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на 2026 в сумме </w:t>
      </w:r>
      <w:r>
        <w:rPr>
          <w:rFonts w:ascii="Times New Roman" w:hAnsi="Times New Roman"/>
          <w:b/>
          <w:color w:val="000000"/>
          <w:sz w:val="28"/>
          <w:szCs w:val="28"/>
        </w:rPr>
        <w:t>29 359,9</w:t>
      </w:r>
      <w:r>
        <w:rPr>
          <w:rFonts w:ascii="Times New Roman" w:hAnsi="Times New Roman"/>
          <w:color w:val="000000"/>
          <w:sz w:val="28"/>
          <w:szCs w:val="28"/>
        </w:rPr>
        <w:t xml:space="preserve"> тыс. рублей;</w:t>
      </w:r>
    </w:p>
    <w:p w14:paraId="71646775" w14:textId="77777777" w:rsidR="00F5527C" w:rsidRDefault="00F5527C" w:rsidP="00A02BC4">
      <w:pPr>
        <w:pStyle w:val="ConsNormal"/>
        <w:widowControl/>
        <w:spacing w:line="0" w:lineRule="atLeast"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3) на 2027в сумме </w:t>
      </w:r>
      <w:r>
        <w:rPr>
          <w:rFonts w:ascii="Times New Roman" w:hAnsi="Times New Roman"/>
          <w:b/>
          <w:color w:val="000000"/>
          <w:sz w:val="28"/>
          <w:szCs w:val="28"/>
        </w:rPr>
        <w:t>26 254,9</w:t>
      </w:r>
      <w:r>
        <w:rPr>
          <w:rFonts w:ascii="Times New Roman" w:hAnsi="Times New Roman"/>
          <w:sz w:val="28"/>
          <w:szCs w:val="28"/>
        </w:rPr>
        <w:t xml:space="preserve"> тыс. рублей.</w:t>
      </w:r>
    </w:p>
    <w:p w14:paraId="33E1DEE1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17. Утвердить в составе расходов бюджета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резервный фонд Администрации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области:</w:t>
      </w:r>
    </w:p>
    <w:p w14:paraId="7B301C73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на 2025 год в размере </w:t>
      </w:r>
      <w:r>
        <w:rPr>
          <w:rFonts w:ascii="Times New Roman" w:hAnsi="Times New Roman"/>
          <w:b/>
          <w:color w:val="000000"/>
          <w:sz w:val="28"/>
          <w:szCs w:val="28"/>
        </w:rPr>
        <w:t>3 000,0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 рублей, что составляет </w:t>
      </w:r>
      <w:r>
        <w:rPr>
          <w:rFonts w:ascii="Times New Roman" w:hAnsi="Times New Roman"/>
          <w:b/>
          <w:color w:val="000000"/>
          <w:sz w:val="28"/>
          <w:szCs w:val="28"/>
        </w:rPr>
        <w:t>0,22</w:t>
      </w:r>
      <w:r>
        <w:rPr>
          <w:rFonts w:ascii="Times New Roman" w:hAnsi="Times New Roman"/>
          <w:sz w:val="28"/>
          <w:szCs w:val="28"/>
        </w:rPr>
        <w:t xml:space="preserve"> процента от общего объема расходов бюджета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области;</w:t>
      </w:r>
    </w:p>
    <w:p w14:paraId="7FC06940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на 2026 год в размере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1 000,0</w:t>
      </w:r>
      <w:r>
        <w:rPr>
          <w:rFonts w:ascii="Times New Roman" w:hAnsi="Times New Roman"/>
          <w:sz w:val="28"/>
          <w:szCs w:val="28"/>
        </w:rPr>
        <w:t xml:space="preserve"> тыс. рублей, что составляет </w:t>
      </w:r>
      <w:r>
        <w:rPr>
          <w:rFonts w:ascii="Times New Roman" w:hAnsi="Times New Roman"/>
          <w:b/>
          <w:color w:val="000000"/>
          <w:sz w:val="28"/>
          <w:szCs w:val="28"/>
        </w:rPr>
        <w:t>0,08</w:t>
      </w:r>
      <w:r>
        <w:rPr>
          <w:rFonts w:ascii="Times New Roman" w:hAnsi="Times New Roman"/>
          <w:sz w:val="28"/>
          <w:szCs w:val="28"/>
        </w:rPr>
        <w:t xml:space="preserve"> процента от общего объема расходов бюджета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области;</w:t>
      </w:r>
    </w:p>
    <w:p w14:paraId="1392B7A9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на 2027 год в размере </w:t>
      </w:r>
      <w:r>
        <w:rPr>
          <w:rFonts w:ascii="Times New Roman" w:hAnsi="Times New Roman"/>
          <w:b/>
          <w:color w:val="000000"/>
          <w:sz w:val="28"/>
          <w:szCs w:val="28"/>
        </w:rPr>
        <w:t>1 000,0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 рублей, что составляет </w:t>
      </w:r>
      <w:r>
        <w:rPr>
          <w:rFonts w:ascii="Times New Roman" w:hAnsi="Times New Roman"/>
          <w:b/>
          <w:color w:val="000000"/>
          <w:sz w:val="28"/>
          <w:szCs w:val="28"/>
        </w:rPr>
        <w:t>0,07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процента от общего объема расходов бюджета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области.</w:t>
      </w:r>
    </w:p>
    <w:p w14:paraId="7E9C8829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18.</w:t>
      </w:r>
      <w:r>
        <w:rPr>
          <w:rFonts w:ascii="Times New Roman" w:hAnsi="Times New Roman"/>
          <w:sz w:val="28"/>
          <w:szCs w:val="28"/>
        </w:rPr>
        <w:t xml:space="preserve"> Утвердить Программу муниципальных внутренних заимствований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области:</w:t>
      </w:r>
    </w:p>
    <w:p w14:paraId="56208ED2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1) на 2025 год согласно приложению 21 к настоящему решению;</w:t>
      </w:r>
    </w:p>
    <w:p w14:paraId="3A13E6EE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 на плановый период 2026 и 2027 годов согласно приложению 22 к настоящему решению.</w:t>
      </w:r>
    </w:p>
    <w:p w14:paraId="288F0DBB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19. Установить:</w:t>
      </w:r>
    </w:p>
    <w:p w14:paraId="130E8D89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верхний предел муниципального внутреннего долга на 1 января 2026 года по долговым обязательствам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lastRenderedPageBreak/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в сумме </w:t>
      </w:r>
      <w:r>
        <w:rPr>
          <w:rFonts w:ascii="Times New Roman" w:hAnsi="Times New Roman"/>
          <w:b/>
          <w:sz w:val="28"/>
          <w:szCs w:val="28"/>
        </w:rPr>
        <w:t>142 396,0</w:t>
      </w:r>
      <w:r>
        <w:rPr>
          <w:rFonts w:ascii="Times New Roman" w:hAnsi="Times New Roman"/>
          <w:sz w:val="28"/>
          <w:szCs w:val="28"/>
        </w:rPr>
        <w:t xml:space="preserve"> тыс. рублей, в том числе верхний предел долга по муниципальным гарантиям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в сумме </w:t>
      </w:r>
      <w:r>
        <w:rPr>
          <w:rFonts w:ascii="Times New Roman" w:hAnsi="Times New Roman"/>
          <w:b/>
          <w:color w:val="000000"/>
          <w:sz w:val="28"/>
          <w:szCs w:val="28"/>
        </w:rPr>
        <w:t>0,0</w:t>
      </w:r>
      <w:r>
        <w:rPr>
          <w:rFonts w:ascii="Times New Roman" w:hAnsi="Times New Roman"/>
          <w:sz w:val="28"/>
          <w:szCs w:val="28"/>
        </w:rPr>
        <w:t xml:space="preserve"> тыс. рублей;</w:t>
      </w:r>
    </w:p>
    <w:p w14:paraId="30588900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верхний предел муниципального внутреннего долга на 1 января 2027 года по долговым обязательствам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в сумме </w:t>
      </w:r>
      <w:r>
        <w:rPr>
          <w:rFonts w:ascii="Times New Roman" w:hAnsi="Times New Roman"/>
          <w:b/>
          <w:sz w:val="28"/>
          <w:szCs w:val="28"/>
        </w:rPr>
        <w:t>103 151,9</w:t>
      </w:r>
      <w:r>
        <w:rPr>
          <w:rFonts w:ascii="Times New Roman" w:hAnsi="Times New Roman"/>
          <w:sz w:val="28"/>
          <w:szCs w:val="28"/>
        </w:rPr>
        <w:t xml:space="preserve"> тыс. рублей, в том числе верхний предел долга по муниципальным гарантиям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в сумме </w:t>
      </w:r>
      <w:r>
        <w:rPr>
          <w:rFonts w:ascii="Times New Roman" w:hAnsi="Times New Roman"/>
          <w:b/>
          <w:color w:val="000000"/>
          <w:sz w:val="28"/>
          <w:szCs w:val="28"/>
        </w:rPr>
        <w:t>0,0</w:t>
      </w:r>
      <w:r>
        <w:rPr>
          <w:rFonts w:ascii="Times New Roman" w:hAnsi="Times New Roman"/>
          <w:sz w:val="28"/>
          <w:szCs w:val="28"/>
        </w:rPr>
        <w:t xml:space="preserve"> тыс. рублей;</w:t>
      </w:r>
    </w:p>
    <w:p w14:paraId="4F8CA2BC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верхний предел муниципального внутреннего долга на 1 января 2028 года по долговым обязательствам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в сумме </w:t>
      </w:r>
      <w:r>
        <w:rPr>
          <w:rFonts w:ascii="Times New Roman" w:hAnsi="Times New Roman"/>
          <w:b/>
          <w:sz w:val="28"/>
          <w:szCs w:val="28"/>
        </w:rPr>
        <w:t>63 907,9</w:t>
      </w:r>
      <w:r>
        <w:rPr>
          <w:rFonts w:ascii="Times New Roman" w:hAnsi="Times New Roman"/>
          <w:sz w:val="28"/>
          <w:szCs w:val="28"/>
        </w:rPr>
        <w:t xml:space="preserve"> тыс. рублей, в том числе верхний предел долга по муниципальным гарантиям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 xml:space="preserve">» Смоленской области в сумме </w:t>
      </w:r>
      <w:r>
        <w:rPr>
          <w:rFonts w:ascii="Times New Roman" w:hAnsi="Times New Roman"/>
          <w:b/>
          <w:color w:val="000000"/>
          <w:sz w:val="28"/>
          <w:szCs w:val="28"/>
        </w:rPr>
        <w:t>0,0</w:t>
      </w:r>
      <w:r>
        <w:rPr>
          <w:rFonts w:ascii="Times New Roman" w:hAnsi="Times New Roman"/>
          <w:sz w:val="28"/>
          <w:szCs w:val="28"/>
        </w:rPr>
        <w:t xml:space="preserve"> тыс. рублей.</w:t>
      </w:r>
    </w:p>
    <w:p w14:paraId="614BE90D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Утвердить объем расходов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 на обслуживание муниципального долга:</w:t>
      </w:r>
    </w:p>
    <w:p w14:paraId="383880FF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в 2025 году в размере </w:t>
      </w:r>
      <w:r>
        <w:rPr>
          <w:b/>
          <w:color w:val="000000"/>
          <w:sz w:val="28"/>
          <w:szCs w:val="28"/>
        </w:rPr>
        <w:t>141,3</w:t>
      </w:r>
      <w:r>
        <w:rPr>
          <w:sz w:val="28"/>
          <w:szCs w:val="28"/>
        </w:rPr>
        <w:t> тыс. рублей, что составляет </w:t>
      </w:r>
      <w:r>
        <w:rPr>
          <w:b/>
          <w:color w:val="000000"/>
          <w:sz w:val="28"/>
          <w:szCs w:val="28"/>
        </w:rPr>
        <w:t>0,02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процента от объема расходов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области, за исключением объема расходов, которые осуществляются за счет субвенций, предоставляемых из бюджетов бюджетной системы Российской Федерации;</w:t>
      </w:r>
    </w:p>
    <w:p w14:paraId="6AB99857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в 2026 году в размере </w:t>
      </w:r>
      <w:r>
        <w:rPr>
          <w:b/>
          <w:color w:val="000000"/>
          <w:sz w:val="28"/>
          <w:szCs w:val="28"/>
        </w:rPr>
        <w:t>105,8</w:t>
      </w:r>
      <w:r>
        <w:rPr>
          <w:b/>
          <w:sz w:val="28"/>
          <w:szCs w:val="28"/>
        </w:rPr>
        <w:t> </w:t>
      </w:r>
      <w:r>
        <w:rPr>
          <w:sz w:val="28"/>
          <w:szCs w:val="28"/>
        </w:rPr>
        <w:t>тыс. рублей, что составляет </w:t>
      </w:r>
      <w:r>
        <w:rPr>
          <w:b/>
          <w:color w:val="000000"/>
          <w:sz w:val="28"/>
          <w:szCs w:val="28"/>
        </w:rPr>
        <w:t>0,01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процента от объема расходов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области, за исключением объема расходов, которые осуществляются за счет субвенций, предоставляемых из бюджетов бюджетной системы Российской Федерации;</w:t>
      </w:r>
    </w:p>
    <w:p w14:paraId="6D163C69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в 2027 году в размере </w:t>
      </w:r>
      <w:r>
        <w:rPr>
          <w:b/>
          <w:color w:val="000000"/>
          <w:sz w:val="28"/>
          <w:szCs w:val="28"/>
        </w:rPr>
        <w:t>51,8</w:t>
      </w:r>
      <w:r>
        <w:rPr>
          <w:sz w:val="28"/>
          <w:szCs w:val="28"/>
        </w:rPr>
        <w:t> тыс. рублей, что составляет </w:t>
      </w:r>
      <w:r>
        <w:rPr>
          <w:b/>
          <w:color w:val="000000"/>
          <w:sz w:val="28"/>
          <w:szCs w:val="28"/>
        </w:rPr>
        <w:t>0,01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процента от объема расходов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>» Смоленской области, за исключением объема расходов, которые осуществляются за счет субвенций, предоставляемых из бюджетов бюджетной системы Российской Федерации.</w:t>
      </w:r>
    </w:p>
    <w:p w14:paraId="09187D30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21. </w:t>
      </w:r>
      <w:r>
        <w:rPr>
          <w:rFonts w:eastAsia="Calibri"/>
          <w:sz w:val="28"/>
          <w:szCs w:val="28"/>
        </w:rPr>
        <w:t xml:space="preserve"> Утвердить </w:t>
      </w:r>
      <w:hyperlink r:id="rId8" w:history="1">
        <w:r>
          <w:rPr>
            <w:rStyle w:val="a4"/>
            <w:rFonts w:eastAsia="Calibri"/>
            <w:sz w:val="28"/>
            <w:szCs w:val="28"/>
          </w:rPr>
          <w:t>Программу</w:t>
        </w:r>
      </w:hyperlink>
      <w:r>
        <w:rPr>
          <w:rFonts w:eastAsia="Calibri"/>
          <w:sz w:val="28"/>
          <w:szCs w:val="28"/>
        </w:rPr>
        <w:t xml:space="preserve"> муниципальных гарантий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rFonts w:eastAsia="Calibri"/>
          <w:sz w:val="28"/>
          <w:szCs w:val="28"/>
        </w:rPr>
        <w:t xml:space="preserve">» Смоленской области в валюте Российской Федерации </w:t>
      </w:r>
      <w:r>
        <w:rPr>
          <w:sz w:val="28"/>
          <w:szCs w:val="28"/>
        </w:rPr>
        <w:t>на 2025 год и на плановый период 2026 и 2027 годов</w:t>
      </w:r>
      <w:r>
        <w:rPr>
          <w:rFonts w:eastAsia="Calibri"/>
          <w:sz w:val="28"/>
          <w:szCs w:val="28"/>
        </w:rPr>
        <w:t xml:space="preserve"> согласно приложению 23 к настоящему решению.</w:t>
      </w:r>
    </w:p>
    <w:p w14:paraId="0B87436D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Утвердить в составе </w:t>
      </w:r>
      <w:hyperlink r:id="rId9" w:history="1">
        <w:r>
          <w:rPr>
            <w:rStyle w:val="a4"/>
            <w:rFonts w:eastAsia="Calibri"/>
            <w:sz w:val="28"/>
            <w:szCs w:val="28"/>
          </w:rPr>
          <w:t>Программы</w:t>
        </w:r>
      </w:hyperlink>
      <w:r>
        <w:rPr>
          <w:rFonts w:eastAsia="Calibri"/>
          <w:sz w:val="28"/>
          <w:szCs w:val="28"/>
        </w:rPr>
        <w:t xml:space="preserve"> муниципальных гарантий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rFonts w:eastAsia="Calibri"/>
          <w:sz w:val="28"/>
          <w:szCs w:val="28"/>
        </w:rPr>
        <w:t>» Смоленской области:</w:t>
      </w:r>
    </w:p>
    <w:p w14:paraId="5F326DC9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1) на 2025 год общий объем бюджетных ассигнований, предусмотренных на исполнение муниципальных гарантий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rFonts w:eastAsia="Calibri"/>
          <w:sz w:val="28"/>
          <w:szCs w:val="28"/>
        </w:rPr>
        <w:t xml:space="preserve">» Смоленской области по возможным гарантийным случаям в 2025 году, в сумме </w:t>
      </w:r>
      <w:r>
        <w:rPr>
          <w:rFonts w:eastAsia="Calibri"/>
          <w:b/>
          <w:sz w:val="28"/>
          <w:szCs w:val="28"/>
        </w:rPr>
        <w:t>0,0</w:t>
      </w:r>
      <w:r>
        <w:rPr>
          <w:rFonts w:eastAsia="Calibri"/>
          <w:sz w:val="28"/>
          <w:szCs w:val="28"/>
        </w:rPr>
        <w:t xml:space="preserve"> тыс. рублей;</w:t>
      </w:r>
    </w:p>
    <w:p w14:paraId="2CAA92E9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2) на плановый период 2026 и 2027 годов общий объем бюджетных ассигнований, предусмотренных на исполнение муниципальных гарантий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rFonts w:eastAsia="Calibri"/>
          <w:sz w:val="28"/>
          <w:szCs w:val="28"/>
        </w:rPr>
        <w:t xml:space="preserve">» Смоленской области по возможным гарантийным случаям, в 2026 году в сумме </w:t>
      </w:r>
      <w:r>
        <w:rPr>
          <w:rFonts w:eastAsia="Calibri"/>
          <w:b/>
          <w:sz w:val="28"/>
          <w:szCs w:val="28"/>
        </w:rPr>
        <w:t>0,0</w:t>
      </w:r>
      <w:r>
        <w:rPr>
          <w:rFonts w:eastAsia="Calibri"/>
          <w:sz w:val="28"/>
          <w:szCs w:val="28"/>
        </w:rPr>
        <w:t xml:space="preserve"> тыс. рублей, в 2027 году в сумме </w:t>
      </w:r>
      <w:r>
        <w:rPr>
          <w:rFonts w:eastAsia="Calibri"/>
          <w:b/>
          <w:sz w:val="28"/>
          <w:szCs w:val="28"/>
        </w:rPr>
        <w:t>0,0</w:t>
      </w:r>
      <w:r>
        <w:rPr>
          <w:rFonts w:eastAsia="Calibri"/>
          <w:sz w:val="28"/>
          <w:szCs w:val="28"/>
        </w:rPr>
        <w:t xml:space="preserve"> тыс. рублей.</w:t>
      </w:r>
    </w:p>
    <w:p w14:paraId="26D2B4C9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22. </w:t>
      </w:r>
      <w:r>
        <w:rPr>
          <w:rFonts w:eastAsia="Calibri"/>
          <w:sz w:val="28"/>
          <w:szCs w:val="28"/>
        </w:rPr>
        <w:t xml:space="preserve"> Утвердить </w:t>
      </w:r>
      <w:hyperlink r:id="rId10" w:history="1">
        <w:r>
          <w:rPr>
            <w:rStyle w:val="a4"/>
            <w:rFonts w:eastAsia="Calibri"/>
            <w:sz w:val="28"/>
            <w:szCs w:val="28"/>
          </w:rPr>
          <w:t>Программу</w:t>
        </w:r>
      </w:hyperlink>
      <w:r>
        <w:rPr>
          <w:rFonts w:eastAsia="Calibri"/>
          <w:sz w:val="28"/>
          <w:szCs w:val="28"/>
        </w:rPr>
        <w:t xml:space="preserve"> муниципальных гарантий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rFonts w:eastAsia="Calibri"/>
          <w:sz w:val="28"/>
          <w:szCs w:val="28"/>
        </w:rPr>
        <w:t xml:space="preserve">» Смоленской области в иностранной валюте </w:t>
      </w:r>
      <w:r>
        <w:rPr>
          <w:sz w:val="28"/>
          <w:szCs w:val="28"/>
        </w:rPr>
        <w:t>на 2025 год и на плановый период 2026 и 2027 годов</w:t>
      </w:r>
      <w:r>
        <w:rPr>
          <w:rFonts w:eastAsia="Calibri"/>
          <w:sz w:val="28"/>
          <w:szCs w:val="28"/>
        </w:rPr>
        <w:t xml:space="preserve"> согласно приложению 24 к настоящему решению.</w:t>
      </w:r>
    </w:p>
    <w:p w14:paraId="7C6E4913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23. </w:t>
      </w:r>
      <w:r>
        <w:rPr>
          <w:rFonts w:eastAsia="Calibri"/>
          <w:sz w:val="28"/>
          <w:szCs w:val="28"/>
        </w:rPr>
        <w:t xml:space="preserve"> Утвердить </w:t>
      </w:r>
      <w:hyperlink r:id="rId11" w:history="1">
        <w:r>
          <w:rPr>
            <w:rStyle w:val="a4"/>
            <w:rFonts w:eastAsia="Calibri"/>
            <w:sz w:val="28"/>
            <w:szCs w:val="28"/>
          </w:rPr>
          <w:t>Программу</w:t>
        </w:r>
      </w:hyperlink>
      <w:r>
        <w:rPr>
          <w:rFonts w:eastAsia="Calibri"/>
          <w:sz w:val="28"/>
          <w:szCs w:val="28"/>
        </w:rPr>
        <w:t xml:space="preserve"> муниципальных внешних заимствований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rFonts w:eastAsia="Calibri"/>
          <w:sz w:val="28"/>
          <w:szCs w:val="28"/>
        </w:rPr>
        <w:t xml:space="preserve">» Смоленской области </w:t>
      </w:r>
      <w:r>
        <w:rPr>
          <w:sz w:val="28"/>
          <w:szCs w:val="28"/>
        </w:rPr>
        <w:t>на 2025 год и на плановый период 2026 и 2027 годов</w:t>
      </w:r>
      <w:r>
        <w:rPr>
          <w:rFonts w:eastAsia="Calibri"/>
          <w:sz w:val="28"/>
          <w:szCs w:val="28"/>
        </w:rPr>
        <w:t xml:space="preserve"> согласно приложению 25 к настоящему решению.</w:t>
      </w:r>
    </w:p>
    <w:p w14:paraId="2DF657BD" w14:textId="77777777" w:rsidR="00F5527C" w:rsidRDefault="00F5527C" w:rsidP="00A02BC4">
      <w:pPr>
        <w:pStyle w:val="ConsNormal"/>
        <w:tabs>
          <w:tab w:val="left" w:pos="567"/>
        </w:tabs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24. Установить, что в 2025 году Управление Федерального казначейства по Смоленской области осуществляет казначейское сопровождение средств в валюте Российской Федерации, предоставляемых из бюджета муниципального образования «Гагаринский </w:t>
      </w:r>
      <w:r>
        <w:rPr>
          <w:rFonts w:ascii="Times New Roman" w:hAnsi="Times New Roman"/>
          <w:sz w:val="28"/>
          <w:szCs w:val="22"/>
          <w:lang w:eastAsia="en-US"/>
        </w:rPr>
        <w:t>муниципальный округ</w:t>
      </w:r>
      <w:r>
        <w:rPr>
          <w:rFonts w:ascii="Times New Roman" w:hAnsi="Times New Roman"/>
          <w:sz w:val="28"/>
          <w:szCs w:val="28"/>
        </w:rPr>
        <w:t>» Смоленской области, указанных в подпунктах 1 и 2 настоящего пункта (далее - целевые средства).</w:t>
      </w:r>
    </w:p>
    <w:p w14:paraId="5E90AE9F" w14:textId="77777777" w:rsidR="00F5527C" w:rsidRDefault="00F5527C" w:rsidP="00A02BC4">
      <w:pPr>
        <w:pStyle w:val="ConsNormal"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Установить, что в соответствии со статьей 242.26 Бюджетного кодекса Российской Федерации казначейскому сопровождению подлежат следующие целевые средства:</w:t>
      </w:r>
    </w:p>
    <w:p w14:paraId="6F87F61B" w14:textId="77777777" w:rsidR="00F5527C" w:rsidRDefault="00F5527C" w:rsidP="00A02BC4">
      <w:pPr>
        <w:pStyle w:val="ConsNormal"/>
        <w:numPr>
          <w:ilvl w:val="0"/>
          <w:numId w:val="1"/>
        </w:numPr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авансы и расчеты по муниципальным контрактам о поставке товаров, выполнении работ, оказании услуг, заключаемым на сумму не менее 50 миллионов рублей;</w:t>
      </w:r>
    </w:p>
    <w:p w14:paraId="4DF95CAC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rPr>
          <w:sz w:val="28"/>
          <w:szCs w:val="28"/>
        </w:rPr>
      </w:pPr>
      <w:r>
        <w:rPr>
          <w:sz w:val="28"/>
          <w:szCs w:val="28"/>
        </w:rPr>
        <w:t>2) авансы и расчеты по контрактам (договорам) о поставке товаров, выполнении работ, оказании услуг, заключаемым на сумму не менее 50 миллионов рублей муниципальными бюджетными или автономными учреждениями, лицевые счета которым открыты в Финансовом управлении Администрации муниципального образования «Гагаринский муниципальный округ» Смоленской области, за счет средств, поступающих указанным учреждениям в соответствии с законодательством Российской Федерации;</w:t>
      </w:r>
    </w:p>
    <w:p w14:paraId="72651DDB" w14:textId="77777777" w:rsidR="00F5527C" w:rsidRDefault="00F5527C" w:rsidP="00A02BC4">
      <w:pPr>
        <w:pStyle w:val="ConsNormal"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авансы и расчеты по контрактам (договорам) о поставке товаров, выполнении работ, оказании услуг, заключаемым на сумму не менее 50 миллионов рублей, источником финансового обеспечения исполнения обязательств по которым являются средства, предоставленные в рамках исполнения муниципальных контрактов, контрактов (договоров), указанных в подпунктах 1 и 2 настоящего пункта.</w:t>
      </w:r>
    </w:p>
    <w:p w14:paraId="2C373F90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25. Установить в соответствии с пунктом 8 статьи 217 Бюджетного кодекса Российской Федерации и статьей 13 </w:t>
      </w:r>
      <w:r>
        <w:rPr>
          <w:sz w:val="28"/>
          <w:szCs w:val="28"/>
        </w:rPr>
        <w:t xml:space="preserve">решения Гагаринской окружной Думы от 24.10.2024 №34 «Об утверждении Положения о бюджетном процессе в муниципальном образовании «Гагаринский муниципальный округ» Смоленской области», что дополнительными основаниями для внесения изменений в сводную бюджетную роспись бюджета муниципального образования «Гагаринский </w:t>
      </w:r>
      <w:r>
        <w:rPr>
          <w:sz w:val="28"/>
          <w:szCs w:val="22"/>
          <w:lang w:eastAsia="en-US"/>
        </w:rPr>
        <w:t>муниципальный округ</w:t>
      </w:r>
      <w:r>
        <w:rPr>
          <w:sz w:val="28"/>
          <w:szCs w:val="28"/>
        </w:rPr>
        <w:t xml:space="preserve">» Смоленской области в 2025 году без внесения изменений в решение о бюджете муниципального образования «Гагаринский </w:t>
      </w:r>
      <w:r>
        <w:rPr>
          <w:sz w:val="28"/>
          <w:szCs w:val="22"/>
          <w:lang w:eastAsia="en-US"/>
        </w:rPr>
        <w:t xml:space="preserve">муниципальный </w:t>
      </w:r>
      <w:r>
        <w:rPr>
          <w:sz w:val="28"/>
          <w:szCs w:val="22"/>
          <w:lang w:eastAsia="en-US"/>
        </w:rPr>
        <w:lastRenderedPageBreak/>
        <w:t>округ</w:t>
      </w:r>
      <w:r>
        <w:rPr>
          <w:sz w:val="28"/>
          <w:szCs w:val="28"/>
        </w:rPr>
        <w:t>» Смоленской области в соответствии с решениями руководителя финансового органа являются:</w:t>
      </w:r>
    </w:p>
    <w:p w14:paraId="5E8E4B75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1) изменение бюджетной классификации Российской Федерации в части классификации расходов бюджета; </w:t>
      </w:r>
    </w:p>
    <w:p w14:paraId="13F1A0AC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2) перераспределение бюджетных ассигнований, связанных с финансовым обеспечением</w:t>
      </w:r>
      <w:r>
        <w:rPr>
          <w:rFonts w:eastAsia="Calibri"/>
          <w:sz w:val="28"/>
          <w:szCs w:val="28"/>
        </w:rPr>
        <w:t xml:space="preserve"> муниципального социального заказа на оказание муниципальных услуг в социальной сфере</w:t>
      </w:r>
      <w:r>
        <w:rPr>
          <w:sz w:val="28"/>
          <w:szCs w:val="28"/>
        </w:rPr>
        <w:t>;</w:t>
      </w:r>
    </w:p>
    <w:p w14:paraId="37AD9FCE" w14:textId="77777777" w:rsidR="00F5527C" w:rsidRDefault="00F5527C" w:rsidP="00A02BC4">
      <w:pPr>
        <w:autoSpaceDE w:val="0"/>
        <w:autoSpaceDN w:val="0"/>
        <w:adjustRightInd w:val="0"/>
        <w:ind w:left="-567" w:right="-285" w:firstLine="567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3) перераспределение бюджетных ассигнований, связанных с финансовым обеспечением региональных проектов, обеспечивающих </w:t>
      </w:r>
      <w:r>
        <w:rPr>
          <w:color w:val="000000"/>
          <w:sz w:val="28"/>
          <w:szCs w:val="28"/>
          <w:shd w:val="clear" w:color="auto" w:fill="FFFFFF"/>
        </w:rPr>
        <w:t>достижение показателей и результатов федеральных проектов.</w:t>
      </w:r>
    </w:p>
    <w:p w14:paraId="1AD879F4" w14:textId="77777777" w:rsidR="00F5527C" w:rsidRDefault="00F5527C" w:rsidP="00A02BC4">
      <w:pPr>
        <w:pStyle w:val="ConsNormal"/>
        <w:widowControl/>
        <w:ind w:left="-567" w:right="-285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26. Настоящее решение вступает в силу с 1 января 2025 года и подлежит официальному опубликованию.</w:t>
      </w:r>
    </w:p>
    <w:tbl>
      <w:tblPr>
        <w:tblW w:w="9021" w:type="dxa"/>
        <w:tblLook w:val="04A0" w:firstRow="1" w:lastRow="0" w:firstColumn="1" w:lastColumn="0" w:noHBand="0" w:noVBand="1"/>
      </w:tblPr>
      <w:tblGrid>
        <w:gridCol w:w="6166"/>
        <w:gridCol w:w="2855"/>
      </w:tblGrid>
      <w:tr w:rsidR="00F5527C" w14:paraId="3CC29977" w14:textId="77777777" w:rsidTr="00F5527C">
        <w:trPr>
          <w:trHeight w:val="485"/>
        </w:trPr>
        <w:tc>
          <w:tcPr>
            <w:tcW w:w="6166" w:type="dxa"/>
          </w:tcPr>
          <w:p w14:paraId="7DCB507E" w14:textId="77777777" w:rsidR="00F5527C" w:rsidRDefault="00F5527C" w:rsidP="00F5527C">
            <w:pPr>
              <w:pStyle w:val="ConsNormal"/>
              <w:widowControl/>
              <w:overflowPunct w:val="0"/>
              <w:autoSpaceDE w:val="0"/>
              <w:autoSpaceDN w:val="0"/>
              <w:adjustRightInd w:val="0"/>
              <w:ind w:left="-567" w:firstLine="567"/>
              <w:jc w:val="both"/>
              <w:textAlignment w:val="baseline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855" w:type="dxa"/>
          </w:tcPr>
          <w:p w14:paraId="7BDBDD38" w14:textId="77777777" w:rsidR="00F5527C" w:rsidRDefault="00F5527C" w:rsidP="00F5527C">
            <w:pPr>
              <w:pStyle w:val="ConsNormal"/>
              <w:widowControl/>
              <w:overflowPunct w:val="0"/>
              <w:autoSpaceDE w:val="0"/>
              <w:autoSpaceDN w:val="0"/>
              <w:adjustRightInd w:val="0"/>
              <w:ind w:left="-567" w:firstLine="567"/>
              <w:textAlignment w:val="baseline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F5527C" w14:paraId="7040D46D" w14:textId="77777777" w:rsidTr="00F5527C">
        <w:trPr>
          <w:trHeight w:val="1502"/>
        </w:trPr>
        <w:tc>
          <w:tcPr>
            <w:tcW w:w="6166" w:type="dxa"/>
            <w:hideMark/>
          </w:tcPr>
          <w:p w14:paraId="10864845" w14:textId="77777777" w:rsidR="00F5527C" w:rsidRDefault="00F5527C" w:rsidP="00F5527C">
            <w:pPr>
              <w:overflowPunct w:val="0"/>
              <w:autoSpaceDE w:val="0"/>
              <w:autoSpaceDN w:val="0"/>
              <w:adjustRightInd w:val="0"/>
              <w:ind w:left="-567" w:firstLine="567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</w:p>
          <w:p w14:paraId="0A8F30F9" w14:textId="407EEF90" w:rsidR="00F5527C" w:rsidRDefault="00F5527C" w:rsidP="00F5527C">
            <w:pPr>
              <w:pStyle w:val="ConsNormal"/>
              <w:widowControl/>
              <w:overflowPunct w:val="0"/>
              <w:autoSpaceDE w:val="0"/>
              <w:autoSpaceDN w:val="0"/>
              <w:adjustRightInd w:val="0"/>
              <w:ind w:left="-567" w:firstLine="567"/>
              <w:jc w:val="both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Гагаринской окружной Думы                                                </w:t>
            </w:r>
          </w:p>
        </w:tc>
        <w:tc>
          <w:tcPr>
            <w:tcW w:w="2855" w:type="dxa"/>
          </w:tcPr>
          <w:p w14:paraId="23EC9DF9" w14:textId="77777777" w:rsidR="00F5527C" w:rsidRDefault="00F5527C" w:rsidP="00F5527C">
            <w:pPr>
              <w:pStyle w:val="ConsNormal"/>
              <w:widowControl/>
              <w:tabs>
                <w:tab w:val="left" w:pos="2018"/>
              </w:tabs>
              <w:overflowPunct w:val="0"/>
              <w:autoSpaceDE w:val="0"/>
              <w:autoSpaceDN w:val="0"/>
              <w:adjustRightInd w:val="0"/>
              <w:ind w:firstLine="0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9822B4F" w14:textId="083DFD51" w:rsidR="00F5527C" w:rsidRDefault="00F5527C" w:rsidP="00F5527C">
            <w:pPr>
              <w:pStyle w:val="ConsNormal"/>
              <w:widowControl/>
              <w:tabs>
                <w:tab w:val="left" w:pos="2018"/>
              </w:tabs>
              <w:overflowPunct w:val="0"/>
              <w:autoSpaceDE w:val="0"/>
              <w:autoSpaceDN w:val="0"/>
              <w:adjustRightInd w:val="0"/>
              <w:ind w:firstLine="0"/>
              <w:textAlignment w:val="baseline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Е. А. Белоусова </w:t>
            </w:r>
          </w:p>
          <w:p w14:paraId="51C43C0E" w14:textId="77777777" w:rsidR="00F5527C" w:rsidRDefault="00F5527C" w:rsidP="00F5527C">
            <w:pPr>
              <w:pStyle w:val="ConsNormal"/>
              <w:widowControl/>
              <w:overflowPunct w:val="0"/>
              <w:autoSpaceDE w:val="0"/>
              <w:autoSpaceDN w:val="0"/>
              <w:adjustRightInd w:val="0"/>
              <w:ind w:left="-567" w:firstLine="567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022256A8" w14:textId="77777777" w:rsidR="00F5527C" w:rsidRDefault="00F5527C" w:rsidP="00F5527C">
      <w:pPr>
        <w:ind w:left="-567" w:firstLine="567"/>
        <w:rPr>
          <w:vanish/>
        </w:rPr>
      </w:pPr>
    </w:p>
    <w:p w14:paraId="7A6324A6" w14:textId="77777777" w:rsidR="00F5527C" w:rsidRDefault="00F5527C" w:rsidP="00F5527C">
      <w:pPr>
        <w:ind w:left="-567" w:firstLine="567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</w:p>
    <w:p w14:paraId="4881E84C" w14:textId="5B6BAF17" w:rsidR="00F5527C" w:rsidRDefault="00F5527C" w:rsidP="00F5527C">
      <w:pPr>
        <w:tabs>
          <w:tab w:val="left" w:pos="9781"/>
          <w:tab w:val="left" w:pos="9923"/>
        </w:tabs>
        <w:ind w:left="-567" w:right="-1" w:firstLine="567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«Гагаринский район» Смоленской области                               </w:t>
      </w:r>
      <w:r>
        <w:rPr>
          <w:b/>
          <w:sz w:val="28"/>
          <w:szCs w:val="28"/>
        </w:rPr>
        <w:t>В. В. Грунин</w:t>
      </w:r>
    </w:p>
    <w:p w14:paraId="503A1791" w14:textId="77777777" w:rsidR="000C2CD9" w:rsidRDefault="000C2CD9" w:rsidP="00F5527C">
      <w:pPr>
        <w:ind w:left="-567" w:firstLine="567"/>
      </w:pPr>
    </w:p>
    <w:sectPr w:rsidR="000C2CD9" w:rsidSect="00956179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C15350"/>
    <w:multiLevelType w:val="singleLevel"/>
    <w:tmpl w:val="ED162BDC"/>
    <w:lvl w:ilvl="0">
      <w:start w:val="2"/>
      <w:numFmt w:val="decimal"/>
      <w:lvlText w:val="2.1.%1."/>
      <w:legacy w:legacy="1" w:legacySpace="0" w:legacyIndent="778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13957F0F"/>
    <w:multiLevelType w:val="hybridMultilevel"/>
    <w:tmpl w:val="D9FAC59A"/>
    <w:lvl w:ilvl="0" w:tplc="B50E7A28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" w15:restartNumberingAfterBreak="0">
    <w:nsid w:val="15645F4D"/>
    <w:multiLevelType w:val="hybridMultilevel"/>
    <w:tmpl w:val="AD96C4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30113425"/>
    <w:multiLevelType w:val="hybridMultilevel"/>
    <w:tmpl w:val="196A59A8"/>
    <w:lvl w:ilvl="0" w:tplc="DD62B166">
      <w:start w:val="1"/>
      <w:numFmt w:val="decimal"/>
      <w:suff w:val="space"/>
      <w:lvlText w:val="%1)"/>
      <w:lvlJc w:val="left"/>
      <w:pPr>
        <w:ind w:left="1815" w:hanging="1095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B12F7"/>
    <w:multiLevelType w:val="singleLevel"/>
    <w:tmpl w:val="7EA85F20"/>
    <w:lvl w:ilvl="0">
      <w:start w:val="1"/>
      <w:numFmt w:val="decimal"/>
      <w:lvlText w:val="%1)"/>
      <w:lvlJc w:val="left"/>
      <w:pPr>
        <w:tabs>
          <w:tab w:val="num" w:pos="1226"/>
        </w:tabs>
        <w:ind w:left="1226" w:hanging="375"/>
      </w:pPr>
      <w:rPr>
        <w:rFonts w:hint="default"/>
      </w:rPr>
    </w:lvl>
  </w:abstractNum>
  <w:abstractNum w:abstractNumId="6" w15:restartNumberingAfterBreak="0">
    <w:nsid w:val="372F4058"/>
    <w:multiLevelType w:val="hybridMultilevel"/>
    <w:tmpl w:val="E07228EE"/>
    <w:lvl w:ilvl="0" w:tplc="43882850">
      <w:start w:val="1"/>
      <w:numFmt w:val="decimal"/>
      <w:lvlText w:val="%1."/>
      <w:lvlJc w:val="left"/>
      <w:pPr>
        <w:ind w:left="115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46D21C47"/>
    <w:multiLevelType w:val="hybridMultilevel"/>
    <w:tmpl w:val="940AB40C"/>
    <w:lvl w:ilvl="0" w:tplc="2840848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8" w15:restartNumberingAfterBreak="0">
    <w:nsid w:val="4B4B4E56"/>
    <w:multiLevelType w:val="hybridMultilevel"/>
    <w:tmpl w:val="3564C8A8"/>
    <w:lvl w:ilvl="0" w:tplc="67989A2E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 w15:restartNumberingAfterBreak="0">
    <w:nsid w:val="77380198"/>
    <w:multiLevelType w:val="hybridMultilevel"/>
    <w:tmpl w:val="D9A4FB3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047805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43170158">
    <w:abstractNumId w:val="1"/>
  </w:num>
  <w:num w:numId="3" w16cid:durableId="936718011">
    <w:abstractNumId w:val="5"/>
  </w:num>
  <w:num w:numId="4" w16cid:durableId="1960260025">
    <w:abstractNumId w:val="3"/>
  </w:num>
  <w:num w:numId="5" w16cid:durableId="1166483698">
    <w:abstractNumId w:val="0"/>
  </w:num>
  <w:num w:numId="6" w16cid:durableId="396783302">
    <w:abstractNumId w:val="8"/>
  </w:num>
  <w:num w:numId="7" w16cid:durableId="1795172575">
    <w:abstractNumId w:val="6"/>
  </w:num>
  <w:num w:numId="8" w16cid:durableId="593629184">
    <w:abstractNumId w:val="2"/>
  </w:num>
  <w:num w:numId="9" w16cid:durableId="2107966418">
    <w:abstractNumId w:val="7"/>
  </w:num>
  <w:num w:numId="10" w16cid:durableId="102147418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175"/>
    <w:rsid w:val="000117E6"/>
    <w:rsid w:val="000C2CD9"/>
    <w:rsid w:val="003B568F"/>
    <w:rsid w:val="008844C2"/>
    <w:rsid w:val="00956179"/>
    <w:rsid w:val="00A02BC4"/>
    <w:rsid w:val="00A62175"/>
    <w:rsid w:val="00B82C08"/>
    <w:rsid w:val="00B8330B"/>
    <w:rsid w:val="00F24A61"/>
    <w:rsid w:val="00F55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3205C"/>
  <w15:chartTrackingRefBased/>
  <w15:docId w15:val="{7E9E433A-9B1F-4F39-8F93-DFEA0DD26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F5527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0"/>
    <w:next w:val="a0"/>
    <w:link w:val="10"/>
    <w:qFormat/>
    <w:rsid w:val="00F5527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nhideWhenUsed/>
    <w:qFormat/>
    <w:rsid w:val="00F5527C"/>
    <w:pPr>
      <w:keepNext/>
      <w:jc w:val="center"/>
      <w:outlineLvl w:val="1"/>
    </w:pPr>
    <w:rPr>
      <w:b/>
      <w:sz w:val="36"/>
    </w:rPr>
  </w:style>
  <w:style w:type="paragraph" w:styleId="4">
    <w:name w:val="heading 4"/>
    <w:basedOn w:val="a0"/>
    <w:next w:val="a0"/>
    <w:link w:val="40"/>
    <w:semiHidden/>
    <w:unhideWhenUsed/>
    <w:qFormat/>
    <w:rsid w:val="00F5527C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6">
    <w:name w:val="heading 6"/>
    <w:basedOn w:val="a0"/>
    <w:next w:val="a0"/>
    <w:link w:val="60"/>
    <w:semiHidden/>
    <w:unhideWhenUsed/>
    <w:qFormat/>
    <w:rsid w:val="00F5527C"/>
    <w:pPr>
      <w:keepNext/>
      <w:outlineLvl w:val="5"/>
    </w:pPr>
    <w:rPr>
      <w:sz w:val="28"/>
      <w:u w:val="single"/>
    </w:rPr>
  </w:style>
  <w:style w:type="paragraph" w:styleId="8">
    <w:name w:val="heading 8"/>
    <w:basedOn w:val="a0"/>
    <w:next w:val="a0"/>
    <w:link w:val="80"/>
    <w:semiHidden/>
    <w:unhideWhenUsed/>
    <w:qFormat/>
    <w:rsid w:val="00F5527C"/>
    <w:p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F5527C"/>
    <w:rPr>
      <w:rFonts w:ascii="Times New Roman" w:eastAsia="Times New Roman" w:hAnsi="Times New Roman" w:cs="Times New Roman"/>
      <w:b/>
      <w:kern w:val="0"/>
      <w:sz w:val="36"/>
      <w:szCs w:val="20"/>
      <w:lang w:eastAsia="ru-RU"/>
      <w14:ligatures w14:val="none"/>
    </w:rPr>
  </w:style>
  <w:style w:type="character" w:customStyle="1" w:styleId="40">
    <w:name w:val="Заголовок 4 Знак"/>
    <w:basedOn w:val="a1"/>
    <w:link w:val="4"/>
    <w:semiHidden/>
    <w:rsid w:val="00F5527C"/>
    <w:rPr>
      <w:rFonts w:ascii="Times New Roman" w:eastAsia="Times New Roman" w:hAnsi="Times New Roman" w:cs="Times New Roman"/>
      <w:b/>
      <w:bCs/>
      <w:kern w:val="0"/>
      <w:sz w:val="28"/>
      <w:szCs w:val="28"/>
      <w:lang w:eastAsia="ru-RU"/>
      <w14:ligatures w14:val="none"/>
    </w:rPr>
  </w:style>
  <w:style w:type="character" w:customStyle="1" w:styleId="60">
    <w:name w:val="Заголовок 6 Знак"/>
    <w:basedOn w:val="a1"/>
    <w:link w:val="6"/>
    <w:semiHidden/>
    <w:rsid w:val="00F5527C"/>
    <w:rPr>
      <w:rFonts w:ascii="Times New Roman" w:eastAsia="Times New Roman" w:hAnsi="Times New Roman" w:cs="Times New Roman"/>
      <w:kern w:val="0"/>
      <w:sz w:val="28"/>
      <w:szCs w:val="20"/>
      <w:u w:val="single"/>
      <w:lang w:eastAsia="ru-RU"/>
      <w14:ligatures w14:val="none"/>
    </w:rPr>
  </w:style>
  <w:style w:type="paragraph" w:customStyle="1" w:styleId="ConsNormal">
    <w:name w:val="ConsNormal"/>
    <w:rsid w:val="00F5527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kern w:val="0"/>
      <w:sz w:val="20"/>
      <w:szCs w:val="20"/>
      <w:lang w:eastAsia="ru-RU"/>
      <w14:ligatures w14:val="none"/>
    </w:rPr>
  </w:style>
  <w:style w:type="paragraph" w:customStyle="1" w:styleId="ConsPlusNormal">
    <w:name w:val="ConsPlusNormal"/>
    <w:rsid w:val="00F552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character" w:styleId="a4">
    <w:name w:val="Hyperlink"/>
    <w:basedOn w:val="a1"/>
    <w:uiPriority w:val="99"/>
    <w:semiHidden/>
    <w:unhideWhenUsed/>
    <w:rsid w:val="00F5527C"/>
    <w:rPr>
      <w:color w:val="0000FF"/>
      <w:u w:val="single"/>
    </w:rPr>
  </w:style>
  <w:style w:type="character" w:customStyle="1" w:styleId="10">
    <w:name w:val="Заголовок 1 Знак"/>
    <w:basedOn w:val="a1"/>
    <w:link w:val="1"/>
    <w:rsid w:val="00F5527C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eastAsia="ru-RU"/>
      <w14:ligatures w14:val="none"/>
    </w:rPr>
  </w:style>
  <w:style w:type="character" w:customStyle="1" w:styleId="80">
    <w:name w:val="Заголовок 8 Знак"/>
    <w:basedOn w:val="a1"/>
    <w:link w:val="8"/>
    <w:semiHidden/>
    <w:rsid w:val="00F5527C"/>
    <w:rPr>
      <w:rFonts w:ascii="Calibri" w:eastAsia="Times New Roman" w:hAnsi="Calibri" w:cs="Times New Roman"/>
      <w:i/>
      <w:iCs/>
      <w:kern w:val="0"/>
      <w:sz w:val="24"/>
      <w:szCs w:val="24"/>
      <w:lang w:val="x-none" w:eastAsia="x-none"/>
      <w14:ligatures w14:val="none"/>
    </w:rPr>
  </w:style>
  <w:style w:type="numbering" w:customStyle="1" w:styleId="11">
    <w:name w:val="Нет списка1"/>
    <w:next w:val="a3"/>
    <w:uiPriority w:val="99"/>
    <w:semiHidden/>
    <w:unhideWhenUsed/>
    <w:rsid w:val="00F5527C"/>
  </w:style>
  <w:style w:type="paragraph" w:styleId="a5">
    <w:name w:val="Body Text"/>
    <w:aliases w:val=" Знак3"/>
    <w:basedOn w:val="a0"/>
    <w:link w:val="a6"/>
    <w:rsid w:val="00F5527C"/>
    <w:pPr>
      <w:jc w:val="both"/>
    </w:pPr>
    <w:rPr>
      <w:bCs/>
      <w:sz w:val="28"/>
      <w:szCs w:val="28"/>
      <w:lang w:val="x-none" w:eastAsia="x-none"/>
    </w:rPr>
  </w:style>
  <w:style w:type="character" w:customStyle="1" w:styleId="a6">
    <w:name w:val="Основной текст Знак"/>
    <w:aliases w:val=" Знак3 Знак"/>
    <w:basedOn w:val="a1"/>
    <w:link w:val="a5"/>
    <w:rsid w:val="00F5527C"/>
    <w:rPr>
      <w:rFonts w:ascii="Times New Roman" w:eastAsia="Times New Roman" w:hAnsi="Times New Roman" w:cs="Times New Roman"/>
      <w:bCs/>
      <w:kern w:val="0"/>
      <w:sz w:val="28"/>
      <w:szCs w:val="28"/>
      <w:lang w:val="x-none" w:eastAsia="x-none"/>
      <w14:ligatures w14:val="none"/>
    </w:rPr>
  </w:style>
  <w:style w:type="paragraph" w:styleId="a7">
    <w:name w:val="Body Text Indent"/>
    <w:aliases w:val="Знак, Знак2,Знак2"/>
    <w:basedOn w:val="a0"/>
    <w:link w:val="a8"/>
    <w:rsid w:val="00F5527C"/>
    <w:pPr>
      <w:spacing w:after="120"/>
      <w:ind w:left="283"/>
    </w:pPr>
    <w:rPr>
      <w:sz w:val="28"/>
      <w:szCs w:val="28"/>
      <w:lang w:val="x-none" w:eastAsia="x-none"/>
    </w:rPr>
  </w:style>
  <w:style w:type="character" w:customStyle="1" w:styleId="a8">
    <w:name w:val="Основной текст с отступом Знак"/>
    <w:aliases w:val="Знак Знак, Знак2 Знак,Знак2 Знак"/>
    <w:basedOn w:val="a1"/>
    <w:link w:val="a7"/>
    <w:rsid w:val="00F5527C"/>
    <w:rPr>
      <w:rFonts w:ascii="Times New Roman" w:eastAsia="Times New Roman" w:hAnsi="Times New Roman" w:cs="Times New Roman"/>
      <w:kern w:val="0"/>
      <w:sz w:val="28"/>
      <w:szCs w:val="28"/>
      <w:lang w:val="x-none" w:eastAsia="x-none"/>
      <w14:ligatures w14:val="none"/>
    </w:rPr>
  </w:style>
  <w:style w:type="paragraph" w:styleId="3">
    <w:name w:val="Body Text 3"/>
    <w:basedOn w:val="a0"/>
    <w:link w:val="30"/>
    <w:rsid w:val="00F5527C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1"/>
    <w:link w:val="3"/>
    <w:rsid w:val="00F5527C"/>
    <w:rPr>
      <w:rFonts w:ascii="Times New Roman" w:eastAsia="Times New Roman" w:hAnsi="Times New Roman" w:cs="Times New Roman"/>
      <w:kern w:val="0"/>
      <w:sz w:val="16"/>
      <w:szCs w:val="16"/>
      <w:lang w:val="x-none" w:eastAsia="x-none"/>
      <w14:ligatures w14:val="none"/>
    </w:rPr>
  </w:style>
  <w:style w:type="paragraph" w:styleId="21">
    <w:name w:val="Body Text 2"/>
    <w:basedOn w:val="a0"/>
    <w:link w:val="22"/>
    <w:rsid w:val="00F5527C"/>
    <w:pPr>
      <w:spacing w:after="120" w:line="480" w:lineRule="auto"/>
    </w:pPr>
    <w:rPr>
      <w:sz w:val="28"/>
      <w:szCs w:val="28"/>
      <w:lang w:val="x-none" w:eastAsia="x-none"/>
    </w:rPr>
  </w:style>
  <w:style w:type="character" w:customStyle="1" w:styleId="22">
    <w:name w:val="Основной текст 2 Знак"/>
    <w:basedOn w:val="a1"/>
    <w:link w:val="21"/>
    <w:rsid w:val="00F5527C"/>
    <w:rPr>
      <w:rFonts w:ascii="Times New Roman" w:eastAsia="Times New Roman" w:hAnsi="Times New Roman" w:cs="Times New Roman"/>
      <w:kern w:val="0"/>
      <w:sz w:val="28"/>
      <w:szCs w:val="28"/>
      <w:lang w:val="x-none" w:eastAsia="x-none"/>
      <w14:ligatures w14:val="none"/>
    </w:rPr>
  </w:style>
  <w:style w:type="paragraph" w:styleId="23">
    <w:name w:val="Body Text Indent 2"/>
    <w:basedOn w:val="a0"/>
    <w:link w:val="24"/>
    <w:rsid w:val="00F5527C"/>
    <w:pPr>
      <w:spacing w:after="120" w:line="480" w:lineRule="auto"/>
      <w:ind w:left="283"/>
    </w:pPr>
    <w:rPr>
      <w:sz w:val="28"/>
      <w:szCs w:val="28"/>
      <w:lang w:val="x-none" w:eastAsia="x-none"/>
    </w:rPr>
  </w:style>
  <w:style w:type="character" w:customStyle="1" w:styleId="24">
    <w:name w:val="Основной текст с отступом 2 Знак"/>
    <w:basedOn w:val="a1"/>
    <w:link w:val="23"/>
    <w:rsid w:val="00F5527C"/>
    <w:rPr>
      <w:rFonts w:ascii="Times New Roman" w:eastAsia="Times New Roman" w:hAnsi="Times New Roman" w:cs="Times New Roman"/>
      <w:kern w:val="0"/>
      <w:sz w:val="28"/>
      <w:szCs w:val="28"/>
      <w:lang w:val="x-none" w:eastAsia="x-none"/>
      <w14:ligatures w14:val="none"/>
    </w:rPr>
  </w:style>
  <w:style w:type="paragraph" w:styleId="a9">
    <w:name w:val="header"/>
    <w:basedOn w:val="a0"/>
    <w:link w:val="aa"/>
    <w:rsid w:val="00F5527C"/>
    <w:pPr>
      <w:tabs>
        <w:tab w:val="center" w:pos="4153"/>
        <w:tab w:val="right" w:pos="8306"/>
      </w:tabs>
    </w:pPr>
    <w:rPr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1"/>
    <w:link w:val="a9"/>
    <w:rsid w:val="00F5527C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ab">
    <w:name w:val="Subtitle"/>
    <w:basedOn w:val="a0"/>
    <w:link w:val="ac"/>
    <w:qFormat/>
    <w:rsid w:val="00F5527C"/>
    <w:pPr>
      <w:jc w:val="center"/>
    </w:pPr>
    <w:rPr>
      <w:b/>
      <w:bCs/>
      <w:sz w:val="28"/>
      <w:szCs w:val="24"/>
      <w:lang w:val="x-none" w:eastAsia="x-none"/>
    </w:rPr>
  </w:style>
  <w:style w:type="character" w:customStyle="1" w:styleId="ac">
    <w:name w:val="Подзаголовок Знак"/>
    <w:basedOn w:val="a1"/>
    <w:link w:val="ab"/>
    <w:rsid w:val="00F5527C"/>
    <w:rPr>
      <w:rFonts w:ascii="Times New Roman" w:eastAsia="Times New Roman" w:hAnsi="Times New Roman" w:cs="Times New Roman"/>
      <w:b/>
      <w:bCs/>
      <w:kern w:val="0"/>
      <w:sz w:val="28"/>
      <w:szCs w:val="24"/>
      <w:lang w:val="x-none" w:eastAsia="x-none"/>
      <w14:ligatures w14:val="none"/>
    </w:rPr>
  </w:style>
  <w:style w:type="paragraph" w:customStyle="1" w:styleId="ConsTitle">
    <w:name w:val="ConsTitle"/>
    <w:rsid w:val="00F552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  <w14:ligatures w14:val="none"/>
    </w:rPr>
  </w:style>
  <w:style w:type="table" w:styleId="ad">
    <w:name w:val="Table Grid"/>
    <w:basedOn w:val="a2"/>
    <w:rsid w:val="00F5527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rsid w:val="00F552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customStyle="1" w:styleId="Heading">
    <w:name w:val="Heading"/>
    <w:rsid w:val="00F5527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lang w:eastAsia="ru-RU"/>
      <w14:ligatures w14:val="none"/>
    </w:rPr>
  </w:style>
  <w:style w:type="paragraph" w:customStyle="1" w:styleId="a">
    <w:name w:val="Нумерованный абзац"/>
    <w:rsid w:val="00F5527C"/>
    <w:pPr>
      <w:numPr>
        <w:numId w:val="4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kern w:val="0"/>
      <w:sz w:val="28"/>
      <w:szCs w:val="20"/>
      <w:lang w:eastAsia="ru-RU"/>
      <w14:ligatures w14:val="none"/>
    </w:rPr>
  </w:style>
  <w:style w:type="paragraph" w:customStyle="1" w:styleId="ae">
    <w:basedOn w:val="a0"/>
    <w:next w:val="af"/>
    <w:link w:val="af0"/>
    <w:qFormat/>
    <w:rsid w:val="00F5527C"/>
    <w:pPr>
      <w:jc w:val="center"/>
    </w:pPr>
    <w:rPr>
      <w:i/>
      <w:sz w:val="28"/>
    </w:rPr>
  </w:style>
  <w:style w:type="paragraph" w:customStyle="1" w:styleId="ConsNormal0">
    <w:name w:val="ConsNormal Знак Знак"/>
    <w:link w:val="ConsNormal1"/>
    <w:rsid w:val="00F5527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character" w:customStyle="1" w:styleId="ConsNormal1">
    <w:name w:val="ConsNormal Знак Знак Знак"/>
    <w:link w:val="ConsNormal0"/>
    <w:rsid w:val="00F5527C"/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paragraph" w:styleId="af1">
    <w:name w:val="Balloon Text"/>
    <w:basedOn w:val="a0"/>
    <w:link w:val="af2"/>
    <w:semiHidden/>
    <w:rsid w:val="00F5527C"/>
    <w:rPr>
      <w:rFonts w:ascii="Tahoma" w:hAnsi="Tahoma"/>
      <w:sz w:val="16"/>
      <w:szCs w:val="16"/>
      <w:lang w:val="x-none" w:eastAsia="x-none"/>
    </w:rPr>
  </w:style>
  <w:style w:type="character" w:customStyle="1" w:styleId="af2">
    <w:name w:val="Текст выноски Знак"/>
    <w:basedOn w:val="a1"/>
    <w:link w:val="af1"/>
    <w:semiHidden/>
    <w:rsid w:val="00F5527C"/>
    <w:rPr>
      <w:rFonts w:ascii="Tahoma" w:eastAsia="Times New Roman" w:hAnsi="Tahoma" w:cs="Times New Roman"/>
      <w:kern w:val="0"/>
      <w:sz w:val="16"/>
      <w:szCs w:val="16"/>
      <w:lang w:val="x-none" w:eastAsia="x-none"/>
      <w14:ligatures w14:val="none"/>
    </w:rPr>
  </w:style>
  <w:style w:type="paragraph" w:styleId="af3">
    <w:name w:val="footer"/>
    <w:basedOn w:val="a0"/>
    <w:link w:val="af4"/>
    <w:uiPriority w:val="99"/>
    <w:rsid w:val="00F5527C"/>
    <w:pPr>
      <w:tabs>
        <w:tab w:val="center" w:pos="4677"/>
        <w:tab w:val="right" w:pos="9355"/>
      </w:tabs>
    </w:pPr>
    <w:rPr>
      <w:sz w:val="28"/>
      <w:szCs w:val="28"/>
      <w:lang w:val="x-none" w:eastAsia="x-none"/>
    </w:rPr>
  </w:style>
  <w:style w:type="character" w:customStyle="1" w:styleId="af4">
    <w:name w:val="Нижний колонтитул Знак"/>
    <w:basedOn w:val="a1"/>
    <w:link w:val="af3"/>
    <w:uiPriority w:val="99"/>
    <w:rsid w:val="00F5527C"/>
    <w:rPr>
      <w:rFonts w:ascii="Times New Roman" w:eastAsia="Times New Roman" w:hAnsi="Times New Roman" w:cs="Times New Roman"/>
      <w:kern w:val="0"/>
      <w:sz w:val="28"/>
      <w:szCs w:val="28"/>
      <w:lang w:val="x-none" w:eastAsia="x-none"/>
      <w14:ligatures w14:val="none"/>
    </w:rPr>
  </w:style>
  <w:style w:type="character" w:styleId="af5">
    <w:name w:val="page number"/>
    <w:basedOn w:val="a1"/>
    <w:rsid w:val="00F5527C"/>
  </w:style>
  <w:style w:type="paragraph" w:customStyle="1" w:styleId="ConsNormal2">
    <w:name w:val="ConsNormal Знак"/>
    <w:rsid w:val="00F5527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kern w:val="0"/>
      <w:sz w:val="24"/>
      <w:szCs w:val="24"/>
      <w:lang w:eastAsia="ru-RU"/>
      <w14:ligatures w14:val="none"/>
    </w:rPr>
  </w:style>
  <w:style w:type="paragraph" w:styleId="31">
    <w:name w:val="Body Text Indent 3"/>
    <w:basedOn w:val="a0"/>
    <w:link w:val="32"/>
    <w:rsid w:val="00F5527C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basedOn w:val="a1"/>
    <w:link w:val="31"/>
    <w:rsid w:val="00F5527C"/>
    <w:rPr>
      <w:rFonts w:ascii="Times New Roman" w:eastAsia="Times New Roman" w:hAnsi="Times New Roman" w:cs="Times New Roman"/>
      <w:kern w:val="0"/>
      <w:sz w:val="16"/>
      <w:szCs w:val="16"/>
      <w:lang w:val="x-none" w:eastAsia="x-none"/>
      <w14:ligatures w14:val="none"/>
    </w:rPr>
  </w:style>
  <w:style w:type="character" w:customStyle="1" w:styleId="af0">
    <w:name w:val="Название Знак"/>
    <w:link w:val="ae"/>
    <w:rsid w:val="00F5527C"/>
    <w:rPr>
      <w:rFonts w:ascii="Times New Roman" w:hAnsi="Times New Roman"/>
      <w:i/>
      <w:sz w:val="28"/>
    </w:rPr>
  </w:style>
  <w:style w:type="paragraph" w:customStyle="1" w:styleId="CharCharCharChar">
    <w:name w:val="Char Char Char Char"/>
    <w:basedOn w:val="a0"/>
    <w:next w:val="a0"/>
    <w:semiHidden/>
    <w:rsid w:val="00F5527C"/>
    <w:pPr>
      <w:spacing w:after="160" w:line="240" w:lineRule="exact"/>
    </w:pPr>
    <w:rPr>
      <w:rFonts w:ascii="Arial" w:hAnsi="Arial" w:cs="Arial"/>
      <w:lang w:val="en-US" w:eastAsia="en-US"/>
    </w:rPr>
  </w:style>
  <w:style w:type="paragraph" w:customStyle="1" w:styleId="consplusnormal0">
    <w:name w:val="consplusnormal"/>
    <w:basedOn w:val="a0"/>
    <w:rsid w:val="00F5527C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uiPriority w:val="99"/>
    <w:rsid w:val="00F552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  <w:style w:type="paragraph" w:customStyle="1" w:styleId="ConsPlusNonformat">
    <w:name w:val="ConsPlusNonformat"/>
    <w:rsid w:val="00F552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styleId="af6">
    <w:name w:val="No Spacing"/>
    <w:qFormat/>
    <w:rsid w:val="00F5527C"/>
    <w:pPr>
      <w:spacing w:after="0" w:line="240" w:lineRule="auto"/>
    </w:pPr>
    <w:rPr>
      <w:rFonts w:ascii="Times New Roman" w:eastAsia="Calibri" w:hAnsi="Times New Roman" w:cs="Times New Roman"/>
      <w:kern w:val="0"/>
      <w:sz w:val="24"/>
      <w14:ligatures w14:val="none"/>
    </w:rPr>
  </w:style>
  <w:style w:type="character" w:styleId="af7">
    <w:name w:val="Strong"/>
    <w:uiPriority w:val="22"/>
    <w:qFormat/>
    <w:rsid w:val="00F5527C"/>
    <w:rPr>
      <w:b/>
      <w:bCs/>
    </w:rPr>
  </w:style>
  <w:style w:type="paragraph" w:customStyle="1" w:styleId="af8">
    <w:name w:val="Знак Знак Знак Знак Знак Знак"/>
    <w:basedOn w:val="a0"/>
    <w:rsid w:val="00F5527C"/>
    <w:rPr>
      <w:rFonts w:ascii="Verdana" w:hAnsi="Verdana" w:cs="Verdana"/>
      <w:lang w:val="en-US" w:eastAsia="en-US"/>
    </w:rPr>
  </w:style>
  <w:style w:type="paragraph" w:customStyle="1" w:styleId="12">
    <w:name w:val="Знак Знак Знак1"/>
    <w:basedOn w:val="a0"/>
    <w:rsid w:val="00F5527C"/>
    <w:pPr>
      <w:spacing w:after="160" w:line="240" w:lineRule="exact"/>
    </w:pPr>
    <w:rPr>
      <w:rFonts w:ascii="Tahoma" w:hAnsi="Tahoma" w:cs="Tahoma"/>
      <w:lang w:val="en-US" w:eastAsia="en-US"/>
    </w:rPr>
  </w:style>
  <w:style w:type="paragraph" w:customStyle="1" w:styleId="13">
    <w:name w:val="Без интервала1"/>
    <w:uiPriority w:val="99"/>
    <w:qFormat/>
    <w:rsid w:val="00F5527C"/>
    <w:pPr>
      <w:spacing w:after="0" w:line="240" w:lineRule="auto"/>
    </w:pPr>
    <w:rPr>
      <w:rFonts w:ascii="Times New Roman" w:eastAsia="Calibri" w:hAnsi="Times New Roman" w:cs="Times New Roman"/>
      <w:kern w:val="0"/>
      <w:sz w:val="28"/>
      <w:szCs w:val="28"/>
      <w:lang w:eastAsia="ru-RU"/>
      <w14:ligatures w14:val="none"/>
    </w:rPr>
  </w:style>
  <w:style w:type="paragraph" w:customStyle="1" w:styleId="14">
    <w:name w:val="Абзац списка1"/>
    <w:basedOn w:val="a0"/>
    <w:uiPriority w:val="99"/>
    <w:qFormat/>
    <w:rsid w:val="00F5527C"/>
    <w:pPr>
      <w:ind w:left="720"/>
    </w:pPr>
    <w:rPr>
      <w:sz w:val="24"/>
      <w:szCs w:val="24"/>
    </w:rPr>
  </w:style>
  <w:style w:type="paragraph" w:customStyle="1" w:styleId="consnormal3">
    <w:name w:val="consnormal"/>
    <w:basedOn w:val="a0"/>
    <w:rsid w:val="00F5527C"/>
    <w:pPr>
      <w:spacing w:before="100" w:beforeAutospacing="1" w:after="100" w:afterAutospacing="1"/>
    </w:pPr>
    <w:rPr>
      <w:sz w:val="24"/>
      <w:szCs w:val="24"/>
    </w:rPr>
  </w:style>
  <w:style w:type="paragraph" w:styleId="af9">
    <w:name w:val="List Paragraph"/>
    <w:basedOn w:val="a0"/>
    <w:qFormat/>
    <w:rsid w:val="00F5527C"/>
    <w:pPr>
      <w:ind w:left="720"/>
      <w:contextualSpacing/>
    </w:pPr>
    <w:rPr>
      <w:sz w:val="28"/>
      <w:szCs w:val="22"/>
      <w:lang w:eastAsia="en-US"/>
    </w:rPr>
  </w:style>
  <w:style w:type="character" w:customStyle="1" w:styleId="15">
    <w:name w:val="Знак Знак1"/>
    <w:rsid w:val="00F5527C"/>
    <w:rPr>
      <w:lang w:val="ru-RU" w:eastAsia="ru-RU" w:bidi="ar-SA"/>
    </w:rPr>
  </w:style>
  <w:style w:type="paragraph" w:customStyle="1" w:styleId="afa">
    <w:name w:val="Знак Знак Знак Знак Знак Знак Знак Знак Знак Знак Знак Знак Знак Знак Знак Знак Знак Знак Знак Знак"/>
    <w:basedOn w:val="a0"/>
    <w:rsid w:val="00F5527C"/>
    <w:rPr>
      <w:rFonts w:ascii="Verdana" w:hAnsi="Verdana" w:cs="Verdana"/>
      <w:lang w:val="en-US" w:eastAsia="en-US"/>
    </w:rPr>
  </w:style>
  <w:style w:type="character" w:customStyle="1" w:styleId="61">
    <w:name w:val="Знак Знак6"/>
    <w:locked/>
    <w:rsid w:val="00F5527C"/>
    <w:rPr>
      <w:lang w:val="ru-RU" w:eastAsia="ru-RU" w:bidi="ar-SA"/>
    </w:rPr>
  </w:style>
  <w:style w:type="paragraph" w:customStyle="1" w:styleId="afb">
    <w:name w:val="Знак Знак Знак Знак Знак Знак Знак Знак Знак Знак Знак Знак Знак Знак Знак Знак"/>
    <w:basedOn w:val="a0"/>
    <w:rsid w:val="00F5527C"/>
    <w:rPr>
      <w:rFonts w:ascii="Verdana" w:hAnsi="Verdana" w:cs="Verdana"/>
      <w:lang w:val="en-US" w:eastAsia="en-US"/>
    </w:rPr>
  </w:style>
  <w:style w:type="character" w:customStyle="1" w:styleId="33">
    <w:name w:val="Знак Знак3"/>
    <w:locked/>
    <w:rsid w:val="00F5527C"/>
    <w:rPr>
      <w:lang w:val="ru-RU" w:eastAsia="ru-RU" w:bidi="ar-SA"/>
    </w:rPr>
  </w:style>
  <w:style w:type="paragraph" w:customStyle="1" w:styleId="afc">
    <w:name w:val="ЭЭГ"/>
    <w:basedOn w:val="a0"/>
    <w:rsid w:val="00F5527C"/>
    <w:pPr>
      <w:spacing w:line="360" w:lineRule="auto"/>
      <w:ind w:firstLine="720"/>
      <w:jc w:val="both"/>
    </w:pPr>
    <w:rPr>
      <w:rFonts w:eastAsia="PMingLiU"/>
      <w:sz w:val="24"/>
      <w:szCs w:val="24"/>
    </w:rPr>
  </w:style>
  <w:style w:type="paragraph" w:customStyle="1" w:styleId="Default">
    <w:name w:val="Default"/>
    <w:rsid w:val="00F5527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ru-RU"/>
      <w14:ligatures w14:val="none"/>
    </w:rPr>
  </w:style>
  <w:style w:type="paragraph" w:customStyle="1" w:styleId="afd">
    <w:name w:val="Прижатый влево"/>
    <w:basedOn w:val="a0"/>
    <w:next w:val="a0"/>
    <w:uiPriority w:val="99"/>
    <w:rsid w:val="00F5527C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e">
    <w:name w:val="Знак Знак Знак Знак Знак Знак Знак Знак Знак Знак Знак Знак Знак Знак Знак Знак Знак Знак"/>
    <w:basedOn w:val="a0"/>
    <w:rsid w:val="00F5527C"/>
    <w:rPr>
      <w:rFonts w:ascii="Verdana" w:hAnsi="Verdana" w:cs="Verdana"/>
      <w:lang w:val="en-US" w:eastAsia="en-US"/>
    </w:rPr>
  </w:style>
  <w:style w:type="paragraph" w:customStyle="1" w:styleId="aff">
    <w:name w:val="Готовый"/>
    <w:basedOn w:val="a0"/>
    <w:uiPriority w:val="99"/>
    <w:rsid w:val="00F5527C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paragraph" w:customStyle="1" w:styleId="CharCharCarCarCharCharCarCarCharCharCarCarCharChar">
    <w:name w:val="Char Char Car Car Char Char Car Car Char Char Car Car Char Char"/>
    <w:basedOn w:val="a0"/>
    <w:uiPriority w:val="99"/>
    <w:rsid w:val="00F5527C"/>
    <w:pPr>
      <w:spacing w:after="160" w:line="240" w:lineRule="exact"/>
    </w:pPr>
    <w:rPr>
      <w:noProof/>
    </w:rPr>
  </w:style>
  <w:style w:type="paragraph" w:customStyle="1" w:styleId="25">
    <w:name w:val="Без интервала2"/>
    <w:uiPriority w:val="99"/>
    <w:qFormat/>
    <w:rsid w:val="00F5527C"/>
    <w:pPr>
      <w:spacing w:after="0" w:line="240" w:lineRule="auto"/>
    </w:pPr>
    <w:rPr>
      <w:rFonts w:ascii="Times New Roman" w:eastAsia="Calibri" w:hAnsi="Times New Roman" w:cs="Times New Roman"/>
      <w:kern w:val="0"/>
      <w:sz w:val="28"/>
      <w:szCs w:val="28"/>
      <w:lang w:eastAsia="ru-RU"/>
      <w14:ligatures w14:val="none"/>
    </w:rPr>
  </w:style>
  <w:style w:type="character" w:customStyle="1" w:styleId="16">
    <w:name w:val="Знак Знак1"/>
    <w:rsid w:val="00F5527C"/>
    <w:rPr>
      <w:lang w:val="ru-RU" w:eastAsia="ru-RU" w:bidi="ar-SA"/>
    </w:rPr>
  </w:style>
  <w:style w:type="paragraph" w:customStyle="1" w:styleId="aff0">
    <w:name w:val="Знак Знак Знак Знак Знак Знак Знак Знак Знак Знак Знак Знак Знак Знак Знак Знак Знак Знак Знак Знак"/>
    <w:basedOn w:val="a0"/>
    <w:rsid w:val="00F5527C"/>
    <w:rPr>
      <w:rFonts w:ascii="Verdana" w:hAnsi="Verdana" w:cs="Verdana"/>
      <w:lang w:val="en-US" w:eastAsia="en-US"/>
    </w:rPr>
  </w:style>
  <w:style w:type="paragraph" w:customStyle="1" w:styleId="aff1">
    <w:name w:val="Знак"/>
    <w:basedOn w:val="a0"/>
    <w:rsid w:val="00F5527C"/>
    <w:rPr>
      <w:rFonts w:ascii="Verdana" w:hAnsi="Verdana" w:cs="Verdana"/>
      <w:lang w:val="en-US" w:eastAsia="en-US"/>
    </w:rPr>
  </w:style>
  <w:style w:type="character" w:customStyle="1" w:styleId="17">
    <w:name w:val="Знак Знак Знак1"/>
    <w:rsid w:val="00F5527C"/>
    <w:rPr>
      <w:sz w:val="28"/>
      <w:lang w:val="ru-RU" w:eastAsia="ru-RU" w:bidi="ar-SA"/>
    </w:rPr>
  </w:style>
  <w:style w:type="numbering" w:customStyle="1" w:styleId="110">
    <w:name w:val="Нет списка11"/>
    <w:next w:val="a3"/>
    <w:uiPriority w:val="99"/>
    <w:semiHidden/>
    <w:unhideWhenUsed/>
    <w:rsid w:val="00F5527C"/>
  </w:style>
  <w:style w:type="table" w:customStyle="1" w:styleId="18">
    <w:name w:val="Сетка таблицы1"/>
    <w:basedOn w:val="a2"/>
    <w:next w:val="ad"/>
    <w:rsid w:val="00F5527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2">
    <w:name w:val="Normal (Web)"/>
    <w:basedOn w:val="a0"/>
    <w:uiPriority w:val="99"/>
    <w:semiHidden/>
    <w:unhideWhenUsed/>
    <w:rsid w:val="00F5527C"/>
    <w:pPr>
      <w:spacing w:after="200" w:line="276" w:lineRule="auto"/>
    </w:pPr>
    <w:rPr>
      <w:sz w:val="24"/>
      <w:szCs w:val="24"/>
    </w:rPr>
  </w:style>
  <w:style w:type="paragraph" w:styleId="af">
    <w:name w:val="Title"/>
    <w:basedOn w:val="a0"/>
    <w:next w:val="a0"/>
    <w:link w:val="aff3"/>
    <w:uiPriority w:val="10"/>
    <w:qFormat/>
    <w:rsid w:val="00F5527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3">
    <w:name w:val="Заголовок Знак"/>
    <w:basedOn w:val="a1"/>
    <w:link w:val="af"/>
    <w:uiPriority w:val="10"/>
    <w:rsid w:val="00F5527C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97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376;n=47127;fld=134;dst=104257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7FFAD6DA156FBE922FD052BCCC0022A5904242D6595C333A01FB0F4104E09910934D83EE8673912B7FB5F08003B6A1AB4F40F45BF52W0FA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7FFAD6DA156FBE922FD052BCCC0022A5904242D6595C333A01FB0F4104E09910934D83EE8653F12B7FB5F08003B6A1AB4F40F45BF52W0FAN" TargetMode="External"/><Relationship Id="rId11" Type="http://schemas.openxmlformats.org/officeDocument/2006/relationships/hyperlink" Target="consultantplus://offline/main?base=RLAW376;n=47127;fld=134;dst=104257" TargetMode="External"/><Relationship Id="rId5" Type="http://schemas.openxmlformats.org/officeDocument/2006/relationships/hyperlink" Target="consultantplus://offline/ref=C7FFAD6DA156FBE922FD052BCCC0022A5904242D6595C333A01FB0F4104E09910934D83BE7653212B7FB5F08003B6A1AB4F40F45BF52W0FAN" TargetMode="External"/><Relationship Id="rId10" Type="http://schemas.openxmlformats.org/officeDocument/2006/relationships/hyperlink" Target="consultantplus://offline/main?base=RLAW376;n=47127;fld=134;dst=1042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RLAW376;n=47127;fld=134;dst=1042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9</Pages>
  <Words>3473</Words>
  <Characters>19801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Малиновская</dc:creator>
  <cp:keywords/>
  <dc:description/>
  <cp:lastModifiedBy>Гагарин Пользователь</cp:lastModifiedBy>
  <cp:revision>6</cp:revision>
  <dcterms:created xsi:type="dcterms:W3CDTF">2024-11-18T06:01:00Z</dcterms:created>
  <dcterms:modified xsi:type="dcterms:W3CDTF">2024-12-16T10:47:00Z</dcterms:modified>
</cp:coreProperties>
</file>