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Pr="00534097" w:rsidRDefault="005946E9" w:rsidP="00603A8D">
      <w:pPr>
        <w:pStyle w:val="1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Pr="00543DB5" w:rsidRDefault="00603A8D" w:rsidP="00603A8D">
      <w:pPr>
        <w:pStyle w:val="2"/>
        <w:rPr>
          <w:sz w:val="12"/>
          <w:szCs w:val="12"/>
        </w:rPr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EB783A">
        <w:t>2</w:t>
      </w:r>
      <w:r w:rsidR="006155E1">
        <w:t>7</w:t>
      </w:r>
      <w:r w:rsidR="000C7B53">
        <w:t xml:space="preserve"> мая 202</w:t>
      </w:r>
      <w:r w:rsidR="006155E1">
        <w:t>4</w:t>
      </w:r>
      <w:r w:rsidR="000C7B53">
        <w:t xml:space="preserve"> года № </w:t>
      </w:r>
      <w:r w:rsidR="00037152">
        <w:t>37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первый квартал 202</w:t>
      </w:r>
      <w:r w:rsidR="006155E1">
        <w:rPr>
          <w:rFonts w:ascii="Times New Roman CYR" w:hAnsi="Times New Roman CYR" w:cs="Times New Roman CYR"/>
        </w:rPr>
        <w:t>4</w:t>
      </w:r>
      <w:r w:rsidR="00F379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первый квартал 202</w:t>
      </w:r>
      <w:r w:rsidR="006155E1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</w:t>
      </w:r>
      <w:r w:rsidR="00DF44B6">
        <w:rPr>
          <w:rFonts w:ascii="Times New Roman CYR" w:hAnsi="Times New Roman CYR" w:cs="Times New Roman CYR"/>
        </w:rPr>
        <w:t>ского района Смоленской области</w:t>
      </w:r>
    </w:p>
    <w:p w:rsidR="00603A8D" w:rsidRPr="00603A8D" w:rsidRDefault="00603A8D" w:rsidP="00DF44B6">
      <w:pPr>
        <w:widowControl w:val="0"/>
        <w:autoSpaceDE w:val="0"/>
        <w:autoSpaceDN w:val="0"/>
        <w:adjustRightInd w:val="0"/>
        <w:spacing w:before="240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336F6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sz w:val="28"/>
          <w:szCs w:val="28"/>
        </w:rPr>
      </w:pPr>
      <w:r w:rsidRPr="000928E5">
        <w:rPr>
          <w:sz w:val="28"/>
          <w:szCs w:val="28"/>
        </w:rPr>
        <w:t xml:space="preserve">Информацию заместителя Главы муниципального образования «Гагаринский район» </w:t>
      </w:r>
      <w:r w:rsidR="005455EE" w:rsidRPr="000928E5">
        <w:rPr>
          <w:sz w:val="28"/>
          <w:szCs w:val="28"/>
        </w:rPr>
        <w:t>Смоленской области, начальника ф</w:t>
      </w:r>
      <w:r w:rsidRPr="000928E5">
        <w:rPr>
          <w:sz w:val="28"/>
          <w:szCs w:val="28"/>
        </w:rPr>
        <w:t>инансового управления</w:t>
      </w:r>
      <w:r w:rsidR="00591BDC" w:rsidRPr="000928E5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0928E5">
        <w:rPr>
          <w:sz w:val="28"/>
          <w:szCs w:val="28"/>
        </w:rPr>
        <w:t xml:space="preserve"> Т.В. Кудриной об</w:t>
      </w:r>
      <w:r w:rsidR="005455EE" w:rsidRPr="000928E5">
        <w:rPr>
          <w:sz w:val="28"/>
          <w:szCs w:val="28"/>
        </w:rPr>
        <w:t xml:space="preserve"> итогах исполнения</w:t>
      </w:r>
      <w:r w:rsidRPr="000928E5">
        <w:rPr>
          <w:sz w:val="28"/>
          <w:szCs w:val="28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A34EFD" w:rsidRPr="000928E5">
        <w:rPr>
          <w:sz w:val="28"/>
          <w:szCs w:val="28"/>
        </w:rPr>
        <w:t>ал 202</w:t>
      </w:r>
      <w:r w:rsidR="006155E1" w:rsidRPr="000928E5">
        <w:rPr>
          <w:sz w:val="28"/>
          <w:szCs w:val="28"/>
        </w:rPr>
        <w:t>4</w:t>
      </w:r>
      <w:r w:rsidR="005455EE" w:rsidRPr="000928E5">
        <w:rPr>
          <w:sz w:val="28"/>
          <w:szCs w:val="28"/>
        </w:rPr>
        <w:t xml:space="preserve"> года принять к сведению согласно приложению</w:t>
      </w:r>
      <w:r w:rsidRPr="000928E5">
        <w:rPr>
          <w:sz w:val="28"/>
          <w:szCs w:val="28"/>
        </w:rPr>
        <w:t>.</w:t>
      </w:r>
    </w:p>
    <w:p w:rsidR="000928E5" w:rsidRPr="000928E5" w:rsidRDefault="000928E5" w:rsidP="00336F6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426"/>
        <w:jc w:val="both"/>
        <w:rPr>
          <w:sz w:val="28"/>
          <w:szCs w:val="28"/>
        </w:rPr>
      </w:pPr>
      <w:r w:rsidRPr="000928E5">
        <w:rPr>
          <w:sz w:val="28"/>
          <w:szCs w:val="28"/>
        </w:rPr>
        <w:t xml:space="preserve">Рекомендовать Администрации муниципального образования «Гагаринский район» Смоленской </w:t>
      </w:r>
      <w:r w:rsidRPr="001D7B1A">
        <w:rPr>
          <w:sz w:val="28"/>
          <w:szCs w:val="28"/>
        </w:rPr>
        <w:t>области</w:t>
      </w:r>
      <w:r w:rsidR="000B30F7" w:rsidRPr="001D7B1A">
        <w:rPr>
          <w:sz w:val="28"/>
          <w:szCs w:val="28"/>
        </w:rPr>
        <w:t xml:space="preserve"> предусмотреть</w:t>
      </w:r>
      <w:r w:rsidR="00C15A20" w:rsidRPr="001D7B1A">
        <w:rPr>
          <w:sz w:val="28"/>
          <w:szCs w:val="28"/>
        </w:rPr>
        <w:t xml:space="preserve"> 500 тыс.</w:t>
      </w:r>
      <w:r w:rsidR="000825D6" w:rsidRPr="001D7B1A">
        <w:rPr>
          <w:sz w:val="28"/>
          <w:szCs w:val="28"/>
        </w:rPr>
        <w:t xml:space="preserve"> </w:t>
      </w:r>
      <w:r w:rsidR="00C15A20" w:rsidRPr="001D7B1A">
        <w:rPr>
          <w:sz w:val="28"/>
          <w:szCs w:val="28"/>
        </w:rPr>
        <w:t>руб. дополнительно</w:t>
      </w:r>
      <w:r w:rsidR="000B30F7">
        <w:rPr>
          <w:sz w:val="28"/>
          <w:szCs w:val="28"/>
        </w:rPr>
        <w:t xml:space="preserve"> на </w:t>
      </w:r>
      <w:r w:rsidR="00C15A20">
        <w:rPr>
          <w:sz w:val="28"/>
          <w:szCs w:val="28"/>
        </w:rPr>
        <w:t>реализацию</w:t>
      </w:r>
      <w:r w:rsidR="000B30F7">
        <w:rPr>
          <w:sz w:val="28"/>
          <w:szCs w:val="28"/>
        </w:rPr>
        <w:t xml:space="preserve"> муниципальной программы «Развитие малого и среднего предпринимательства на территории муниципального образования Гагаринское городское поселение Гагаринского района Смоленской области».</w:t>
      </w:r>
    </w:p>
    <w:p w:rsidR="00603A8D" w:rsidRDefault="000928E5" w:rsidP="00336F6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603A8D">
        <w:rPr>
          <w:rFonts w:ascii="Times New Roman CYR" w:hAnsi="Times New Roman CYR" w:cs="Times New Roman CYR"/>
        </w:rPr>
        <w:t>. Решение вступает в силу со дня принятия и подлежит официальному опубликованию.</w:t>
      </w:r>
    </w:p>
    <w:p w:rsidR="003D0181" w:rsidRPr="00C1551C" w:rsidRDefault="003D0181" w:rsidP="00302DA2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="006155E1">
        <w:rPr>
          <w:b/>
        </w:rPr>
        <w:t>И.В. Иванов</w:t>
      </w:r>
    </w:p>
    <w:p w:rsidR="00440879" w:rsidRDefault="00440879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74F7E">
        <w:rPr>
          <w:rFonts w:ascii="Times New Roman CYR" w:hAnsi="Times New Roman CYR" w:cs="Times New Roman CYR"/>
          <w:sz w:val="24"/>
          <w:szCs w:val="24"/>
        </w:rPr>
        <w:t>2</w:t>
      </w:r>
      <w:r w:rsidR="006155E1">
        <w:rPr>
          <w:rFonts w:ascii="Times New Roman CYR" w:hAnsi="Times New Roman CYR" w:cs="Times New Roman CYR"/>
          <w:sz w:val="24"/>
          <w:szCs w:val="24"/>
        </w:rPr>
        <w:t>7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мая 202</w:t>
      </w:r>
      <w:r w:rsidR="006155E1">
        <w:rPr>
          <w:rFonts w:ascii="Times New Roman CYR" w:hAnsi="Times New Roman CYR" w:cs="Times New Roman CYR"/>
          <w:sz w:val="24"/>
          <w:szCs w:val="24"/>
        </w:rPr>
        <w:t>4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037152">
        <w:rPr>
          <w:rFonts w:ascii="Times New Roman CYR" w:hAnsi="Times New Roman CYR" w:cs="Times New Roman CYR"/>
          <w:sz w:val="24"/>
          <w:szCs w:val="24"/>
        </w:rPr>
        <w:t xml:space="preserve"> 37</w:t>
      </w:r>
      <w:r w:rsidR="0064077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40879" w:rsidRPr="0079121F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5000" w:type="pct"/>
        <w:tblLook w:val="04A0"/>
      </w:tblPr>
      <w:tblGrid>
        <w:gridCol w:w="1919"/>
        <w:gridCol w:w="1400"/>
        <w:gridCol w:w="1177"/>
        <w:gridCol w:w="1035"/>
        <w:gridCol w:w="1103"/>
        <w:gridCol w:w="1035"/>
        <w:gridCol w:w="1082"/>
        <w:gridCol w:w="1103"/>
      </w:tblGrid>
      <w:tr w:rsidR="0065231C" w:rsidRPr="0065231C" w:rsidTr="0065231C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1"/>
            <w:r w:rsidRPr="0065231C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квартал 2024 года</w:t>
            </w:r>
            <w:bookmarkEnd w:id="0"/>
          </w:p>
        </w:tc>
      </w:tr>
      <w:tr w:rsidR="0065231C" w:rsidRPr="0065231C" w:rsidTr="0065231C">
        <w:trPr>
          <w:trHeight w:val="1560"/>
        </w:trPr>
        <w:tc>
          <w:tcPr>
            <w:tcW w:w="1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Уточненный план на 2024 год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Исполнено за 1 квартал 2024 года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% исполнения за 1 квартал 2024 года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Исполнено  за 1 квартал 2023 года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отклонение (факт 2024-2023)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%              роста исполнения 2024 к 2023 году</w:t>
            </w:r>
          </w:p>
        </w:tc>
      </w:tr>
      <w:tr w:rsidR="0065231C" w:rsidRPr="0065231C" w:rsidTr="0065231C">
        <w:trPr>
          <w:trHeight w:val="36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133 580,1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26 072,3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15 875,4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10 196,9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164,2</w:t>
            </w:r>
          </w:p>
        </w:tc>
      </w:tr>
      <w:tr w:rsidR="0065231C" w:rsidRPr="0065231C" w:rsidTr="0065231C">
        <w:trPr>
          <w:trHeight w:val="323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93 797,3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18 474,7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12 291,4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6 183,3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150,3</w:t>
            </w:r>
          </w:p>
        </w:tc>
      </w:tr>
      <w:tr w:rsidR="0065231C" w:rsidRPr="0065231C" w:rsidTr="0065231C">
        <w:trPr>
          <w:trHeight w:val="323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93 797,3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18 474,7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12 291,4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6 183,3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150,3</w:t>
            </w:r>
          </w:p>
        </w:tc>
      </w:tr>
      <w:tr w:rsidR="0065231C" w:rsidRPr="0065231C" w:rsidTr="0065231C">
        <w:trPr>
          <w:trHeight w:val="54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3 209,8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816,3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738,0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110,6</w:t>
            </w:r>
          </w:p>
        </w:tc>
      </w:tr>
      <w:tr w:rsidR="0065231C" w:rsidRPr="0065231C" w:rsidTr="0065231C">
        <w:trPr>
          <w:trHeight w:val="31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3 209,8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816,3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738,0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110,6</w:t>
            </w:r>
          </w:p>
        </w:tc>
      </w:tr>
      <w:tr w:rsidR="0065231C" w:rsidRPr="0065231C" w:rsidTr="0065231C">
        <w:trPr>
          <w:trHeight w:val="31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Единый сельскохозяйственный доход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1 05 00000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31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30 071,3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4 725,9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1 197,6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3 528,3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231C" w:rsidRPr="0065231C" w:rsidTr="0065231C">
        <w:trPr>
          <w:trHeight w:val="30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11 906,5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1 636,5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-80,5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1 717,0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34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18 164,8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3 089,4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1 278,1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1 811,3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241,7</w:t>
            </w:r>
          </w:p>
        </w:tc>
      </w:tr>
      <w:tr w:rsidR="0065231C" w:rsidRPr="0065231C" w:rsidTr="0065231C">
        <w:trPr>
          <w:trHeight w:val="34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12 715,4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2 808,1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1 466,8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1 341,3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191,4</w:t>
            </w:r>
          </w:p>
        </w:tc>
      </w:tr>
      <w:tr w:rsidR="0065231C" w:rsidRPr="0065231C" w:rsidTr="0065231C">
        <w:trPr>
          <w:trHeight w:val="34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5 449,4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281,3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-188,7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8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4 157,2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1 006,5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24,2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888,2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118,3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113,3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1 447,0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422,6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29,2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698,3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-275,7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60,5</w:t>
            </w:r>
          </w:p>
        </w:tc>
      </w:tr>
      <w:tr w:rsidR="0065231C" w:rsidRPr="0065231C" w:rsidTr="0065231C">
        <w:trPr>
          <w:trHeight w:val="37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2 703,0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583,9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189,9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394,0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307,5</w:t>
            </w:r>
          </w:p>
        </w:tc>
      </w:tr>
      <w:tr w:rsidR="0065231C" w:rsidRPr="0065231C" w:rsidTr="0065231C">
        <w:trPr>
          <w:trHeight w:val="102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lastRenderedPageBreak/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i/>
                <w:iCs/>
                <w:color w:val="000000"/>
                <w:sz w:val="20"/>
                <w:szCs w:val="20"/>
              </w:rPr>
              <w:t>1 11 09080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54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338,0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42,9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-99,8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30,1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338,0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-99,8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30,1</w:t>
            </w:r>
          </w:p>
        </w:tc>
      </w:tr>
      <w:tr w:rsidR="0065231C" w:rsidRPr="0065231C" w:rsidTr="0065231C">
        <w:trPr>
          <w:trHeight w:val="54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1 004,0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617,5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386,5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162,6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1 004,0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617,5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386,5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162,6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383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2 006,5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85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2 006,5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i/>
                <w:iCs/>
                <w:sz w:val="20"/>
                <w:szCs w:val="20"/>
              </w:rPr>
            </w:pPr>
            <w:r w:rsidRPr="0065231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7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ПРОЧИЕ НЕНАЛОГОВЫЕ </w:t>
            </w:r>
            <w:r w:rsidRPr="0065231C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1 17 00000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42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122 931,3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982,9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959,3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65231C" w:rsidRPr="0065231C" w:rsidTr="0065231C">
        <w:trPr>
          <w:trHeight w:val="58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5231C" w:rsidRPr="0065231C" w:rsidRDefault="0065231C" w:rsidP="006523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122 931,3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981,9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944,1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104,0</w:t>
            </w:r>
          </w:p>
        </w:tc>
      </w:tr>
      <w:tr w:rsidR="0065231C" w:rsidRPr="0065231C" w:rsidTr="0065231C">
        <w:trPr>
          <w:trHeight w:val="52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1C" w:rsidRPr="0065231C" w:rsidRDefault="0065231C" w:rsidP="0065231C">
            <w:pPr>
              <w:rPr>
                <w:b/>
                <w:bCs/>
                <w:sz w:val="22"/>
                <w:szCs w:val="22"/>
              </w:rPr>
            </w:pPr>
            <w:r w:rsidRPr="0065231C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202  16001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3 928,7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981,9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944,1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104,0</w:t>
            </w:r>
          </w:p>
        </w:tc>
      </w:tr>
      <w:tr w:rsidR="0065231C" w:rsidRPr="0065231C" w:rsidTr="0065231C">
        <w:trPr>
          <w:trHeight w:val="409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119 002,6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46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8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5231C" w:rsidRPr="0065231C" w:rsidTr="0065231C">
        <w:trPr>
          <w:trHeight w:val="64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231C">
              <w:rPr>
                <w:b/>
                <w:bCs/>
                <w:color w:val="000000"/>
                <w:sz w:val="16"/>
                <w:szCs w:val="16"/>
              </w:rPr>
              <w:t>ДОХОДЫ ОТ ВОЗВРАТА ОСТАТКОВ СУБСИДИЙ, СУБВЕНЦИЙ, ИНЫХ МЕЖБ. ТРАНСФЕРТОВ ПРОШЛЫХ ЛЕТ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2 18 00000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-14,2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23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31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256 511,4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27 055,2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16 834,7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10 220,5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160,7</w:t>
            </w:r>
          </w:p>
        </w:tc>
      </w:tr>
      <w:tr w:rsidR="0065231C" w:rsidRPr="0065231C" w:rsidTr="0065231C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 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12 778,5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1 150,3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1 683,9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-533,6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65231C" w:rsidRPr="0065231C" w:rsidTr="0065231C">
        <w:trPr>
          <w:trHeight w:val="76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1 116,5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267,7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-267,7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0,00</w:t>
            </w:r>
          </w:p>
        </w:tc>
      </w:tr>
      <w:tr w:rsidR="0065231C" w:rsidRPr="0065231C" w:rsidTr="0065231C">
        <w:trPr>
          <w:trHeight w:val="76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65231C">
              <w:rPr>
                <w:color w:val="000000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2 110,4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224,6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468,5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-243,9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47,9</w:t>
            </w:r>
          </w:p>
        </w:tc>
      </w:tr>
      <w:tr w:rsidR="0065231C" w:rsidRPr="0065231C" w:rsidTr="0065231C">
        <w:trPr>
          <w:trHeight w:val="76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124,3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0113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6 007,7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887,3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916,8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-29,5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96,8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3 340,0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522,4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431,7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65231C" w:rsidRPr="0065231C" w:rsidTr="0065231C">
        <w:trPr>
          <w:trHeight w:val="36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0309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8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3 340,0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522,4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431,7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90,7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135 446,9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2 175,4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2 147,9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7 910,5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0409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134 496,9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2 175,4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2 147,9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7 910,5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161 771,6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32 307,4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18 644,7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13 662,7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173,3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23 131,3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4 492,5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3 929,8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562,7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114,3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55 167,5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9 697,4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1 294,6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8 402,8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749,1</w:t>
            </w:r>
          </w:p>
        </w:tc>
      </w:tr>
      <w:tr w:rsidR="0065231C" w:rsidRPr="0065231C" w:rsidTr="0065231C">
        <w:trPr>
          <w:trHeight w:val="40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83 472,8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18 117,5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13 420,3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4 697,2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135,0</w:t>
            </w:r>
          </w:p>
        </w:tc>
      </w:tr>
      <w:tr w:rsidR="0065231C" w:rsidRPr="0065231C" w:rsidTr="0065231C">
        <w:trPr>
          <w:trHeight w:val="40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40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7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65231C" w:rsidRPr="0065231C" w:rsidTr="0065231C">
        <w:trPr>
          <w:trHeight w:val="27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 xml:space="preserve">Молодежная </w:t>
            </w:r>
            <w:r w:rsidRPr="0065231C">
              <w:rPr>
                <w:color w:val="000000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154,0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2 567,0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1 157,4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416,5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740,9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277,9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2 500,0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1 147,4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416,5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730,9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275,5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67,0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1 390,9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192,0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219,9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-27,9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343,4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103,2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1 047,5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106,2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-30,6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77,6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1102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109,8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95,3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1301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</w:t>
            </w: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5231C" w:rsidRPr="0065231C" w:rsidRDefault="0065231C" w:rsidP="0065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3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318 312,9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37 639,5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21 561,0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16 078,5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1C">
              <w:rPr>
                <w:b/>
                <w:bCs/>
                <w:sz w:val="20"/>
                <w:szCs w:val="20"/>
              </w:rPr>
              <w:t>174,6</w:t>
            </w:r>
          </w:p>
        </w:tc>
      </w:tr>
      <w:tr w:rsidR="0065231C" w:rsidRPr="0065231C" w:rsidTr="0065231C">
        <w:trPr>
          <w:trHeight w:val="510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  <w:r w:rsidRPr="00652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-61 801,5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-10 584,3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proofErr w:type="spellStart"/>
            <w:r w:rsidRPr="006523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r w:rsidRPr="0065231C">
              <w:rPr>
                <w:sz w:val="20"/>
                <w:szCs w:val="20"/>
              </w:rPr>
              <w:t>-4 726,3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proofErr w:type="spellStart"/>
            <w:r w:rsidRPr="006523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  <w:proofErr w:type="spellStart"/>
            <w:r w:rsidRPr="0065231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52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1C" w:rsidRPr="0065231C" w:rsidRDefault="0065231C" w:rsidP="006523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31C" w:rsidRPr="0065231C" w:rsidRDefault="0065231C" w:rsidP="00652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  <w:tr w:rsidR="0065231C" w:rsidRPr="0065231C" w:rsidTr="0065231C">
        <w:trPr>
          <w:trHeight w:val="255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C" w:rsidRPr="0065231C" w:rsidRDefault="0065231C" w:rsidP="0065231C">
            <w:pPr>
              <w:rPr>
                <w:sz w:val="20"/>
                <w:szCs w:val="20"/>
              </w:rPr>
            </w:pPr>
          </w:p>
        </w:tc>
      </w:tr>
    </w:tbl>
    <w:p w:rsidR="00A01DF6" w:rsidRDefault="00A01DF6"/>
    <w:p w:rsidR="004D14E4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4E4" w:rsidRDefault="004D14E4">
      <w:pPr>
        <w:spacing w:before="120" w:after="120"/>
        <w:ind w:firstLine="709"/>
        <w:jc w:val="both"/>
      </w:pPr>
      <w:r>
        <w:br w:type="page"/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4D14E4" w:rsidRPr="00CD4F90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7E5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D14E4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4E4" w:rsidRPr="00E55115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140BC5" w:rsidRPr="00E36125" w:rsidTr="00140BC5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140BC5" w:rsidRPr="00E36125" w:rsidTr="00140BC5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C5" w:rsidRPr="00E36125" w:rsidRDefault="00140BC5" w:rsidP="00D82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BC5" w:rsidRPr="00E36125" w:rsidTr="00140BC5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203D" w:rsidRDefault="00140BC5" w:rsidP="00D82F1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203D" w:rsidRDefault="00140BC5" w:rsidP="00D82F1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E3203D" w:rsidRDefault="00140BC5" w:rsidP="00D82F18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C5" w:rsidRPr="00E3203D" w:rsidRDefault="00140BC5" w:rsidP="00D82F18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</w:tr>
      <w:tr w:rsidR="00140BC5" w:rsidRPr="00D57407" w:rsidTr="00140BC5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D57407" w:rsidRDefault="00140BC5" w:rsidP="00D82F1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D57407" w:rsidRDefault="00140BC5" w:rsidP="00D82F1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C5" w:rsidRPr="005545E4" w:rsidRDefault="00140BC5" w:rsidP="00D82F18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C5" w:rsidRPr="00242846" w:rsidRDefault="00140BC5" w:rsidP="00D82F18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140BC5" w:rsidRPr="00E55115" w:rsidRDefault="00140BC5" w:rsidP="004D1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4E4" w:rsidRPr="00E55115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4D14E4" w:rsidRPr="008A4902" w:rsidTr="004D14E4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  <w:r w:rsidRPr="008A4902">
              <w:t>6</w:t>
            </w: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3F65F8" w:rsidRDefault="004D14E4" w:rsidP="00D82F18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  <w:jc w:val="center"/>
            </w:pP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D82F18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  <w:jc w:val="center"/>
            </w:pPr>
          </w:p>
        </w:tc>
      </w:tr>
      <w:tr w:rsidR="004D14E4" w:rsidRPr="00D57407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D82F18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D82F18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D82F18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D82F18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Default="004D14E4" w:rsidP="00D82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F2A63" w:rsidRDefault="00BF2A63" w:rsidP="00225397">
      <w:pPr>
        <w:pStyle w:val="ConsPlusNonformat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F2A63" w:rsidSect="00534097">
      <w:headerReference w:type="default" r:id="rId8"/>
      <w:pgSz w:w="11906" w:h="16838"/>
      <w:pgMar w:top="49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28" w:rsidRDefault="00743728" w:rsidP="00603A8D">
      <w:r>
        <w:separator/>
      </w:r>
    </w:p>
  </w:endnote>
  <w:endnote w:type="continuationSeparator" w:id="0">
    <w:p w:rsidR="00743728" w:rsidRDefault="00743728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28" w:rsidRDefault="00743728" w:rsidP="00603A8D">
      <w:r>
        <w:separator/>
      </w:r>
    </w:p>
  </w:footnote>
  <w:footnote w:type="continuationSeparator" w:id="0">
    <w:p w:rsidR="00743728" w:rsidRDefault="00743728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18" w:rsidRDefault="00D82F18" w:rsidP="006155E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7173"/>
    <w:multiLevelType w:val="hybridMultilevel"/>
    <w:tmpl w:val="811E0104"/>
    <w:lvl w:ilvl="0" w:tplc="0194CB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37152"/>
    <w:rsid w:val="0004148B"/>
    <w:rsid w:val="00047BF8"/>
    <w:rsid w:val="00051FC6"/>
    <w:rsid w:val="000522DF"/>
    <w:rsid w:val="00054C67"/>
    <w:rsid w:val="0006536B"/>
    <w:rsid w:val="000716F5"/>
    <w:rsid w:val="000825D6"/>
    <w:rsid w:val="000879FF"/>
    <w:rsid w:val="000928E5"/>
    <w:rsid w:val="00097CC9"/>
    <w:rsid w:val="000A4708"/>
    <w:rsid w:val="000B30F7"/>
    <w:rsid w:val="000C3EE6"/>
    <w:rsid w:val="000C7B53"/>
    <w:rsid w:val="000E71A3"/>
    <w:rsid w:val="000F6922"/>
    <w:rsid w:val="001136A8"/>
    <w:rsid w:val="00116691"/>
    <w:rsid w:val="00120620"/>
    <w:rsid w:val="00122A64"/>
    <w:rsid w:val="00126634"/>
    <w:rsid w:val="0013321E"/>
    <w:rsid w:val="00134BFE"/>
    <w:rsid w:val="001370B0"/>
    <w:rsid w:val="00140BC5"/>
    <w:rsid w:val="00142E08"/>
    <w:rsid w:val="00166DBF"/>
    <w:rsid w:val="00166FC4"/>
    <w:rsid w:val="001858B5"/>
    <w:rsid w:val="00186E20"/>
    <w:rsid w:val="00187A15"/>
    <w:rsid w:val="00193F1B"/>
    <w:rsid w:val="001A15A3"/>
    <w:rsid w:val="001A22F0"/>
    <w:rsid w:val="001C2D05"/>
    <w:rsid w:val="001C7BAE"/>
    <w:rsid w:val="001D4B26"/>
    <w:rsid w:val="001D7B1A"/>
    <w:rsid w:val="001E5B03"/>
    <w:rsid w:val="001F157E"/>
    <w:rsid w:val="001F1AF0"/>
    <w:rsid w:val="0021200F"/>
    <w:rsid w:val="002147CD"/>
    <w:rsid w:val="00225397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4921"/>
    <w:rsid w:val="002B71F4"/>
    <w:rsid w:val="002C55B9"/>
    <w:rsid w:val="002E23C4"/>
    <w:rsid w:val="002E4F64"/>
    <w:rsid w:val="00302DA2"/>
    <w:rsid w:val="003109EC"/>
    <w:rsid w:val="00320E91"/>
    <w:rsid w:val="00323BCA"/>
    <w:rsid w:val="00332E61"/>
    <w:rsid w:val="0033453F"/>
    <w:rsid w:val="00336F6E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06E7B"/>
    <w:rsid w:val="00416562"/>
    <w:rsid w:val="0042209A"/>
    <w:rsid w:val="004247F7"/>
    <w:rsid w:val="00436716"/>
    <w:rsid w:val="00440879"/>
    <w:rsid w:val="00442161"/>
    <w:rsid w:val="0045643E"/>
    <w:rsid w:val="00477AD8"/>
    <w:rsid w:val="0049462E"/>
    <w:rsid w:val="00494AC8"/>
    <w:rsid w:val="004969CA"/>
    <w:rsid w:val="00497321"/>
    <w:rsid w:val="004A779E"/>
    <w:rsid w:val="004B4C42"/>
    <w:rsid w:val="004C1C55"/>
    <w:rsid w:val="004C6B6D"/>
    <w:rsid w:val="004C6D95"/>
    <w:rsid w:val="004C7676"/>
    <w:rsid w:val="004D14E4"/>
    <w:rsid w:val="004E15CC"/>
    <w:rsid w:val="004F0934"/>
    <w:rsid w:val="004F0F18"/>
    <w:rsid w:val="004F2035"/>
    <w:rsid w:val="004F438D"/>
    <w:rsid w:val="004F5FF3"/>
    <w:rsid w:val="004F7AFE"/>
    <w:rsid w:val="005100A2"/>
    <w:rsid w:val="00524A85"/>
    <w:rsid w:val="005271F9"/>
    <w:rsid w:val="00534097"/>
    <w:rsid w:val="00543DB5"/>
    <w:rsid w:val="005455EE"/>
    <w:rsid w:val="005466DD"/>
    <w:rsid w:val="0055790E"/>
    <w:rsid w:val="00557E59"/>
    <w:rsid w:val="00562221"/>
    <w:rsid w:val="005679B3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C75EE"/>
    <w:rsid w:val="005D6062"/>
    <w:rsid w:val="005E15ED"/>
    <w:rsid w:val="005E7E6E"/>
    <w:rsid w:val="005F20BE"/>
    <w:rsid w:val="005F2333"/>
    <w:rsid w:val="005F46C7"/>
    <w:rsid w:val="00603A8D"/>
    <w:rsid w:val="006155E1"/>
    <w:rsid w:val="0061670A"/>
    <w:rsid w:val="00640776"/>
    <w:rsid w:val="0065231C"/>
    <w:rsid w:val="00660684"/>
    <w:rsid w:val="00673ED3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43728"/>
    <w:rsid w:val="00751290"/>
    <w:rsid w:val="0079121F"/>
    <w:rsid w:val="00796F4D"/>
    <w:rsid w:val="007A475E"/>
    <w:rsid w:val="007A7FBF"/>
    <w:rsid w:val="007B2973"/>
    <w:rsid w:val="007C50C1"/>
    <w:rsid w:val="007C5DFC"/>
    <w:rsid w:val="007C763B"/>
    <w:rsid w:val="007D54E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B2907"/>
    <w:rsid w:val="008C1234"/>
    <w:rsid w:val="008D4F99"/>
    <w:rsid w:val="008E715F"/>
    <w:rsid w:val="008F2233"/>
    <w:rsid w:val="008F7E93"/>
    <w:rsid w:val="00903CB5"/>
    <w:rsid w:val="009062F0"/>
    <w:rsid w:val="009122BF"/>
    <w:rsid w:val="00913B09"/>
    <w:rsid w:val="00925260"/>
    <w:rsid w:val="00936E0A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9F6FD9"/>
    <w:rsid w:val="00A01DF6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AC4B91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2A63"/>
    <w:rsid w:val="00BF345B"/>
    <w:rsid w:val="00BF75B3"/>
    <w:rsid w:val="00C1279C"/>
    <w:rsid w:val="00C15A20"/>
    <w:rsid w:val="00C2055B"/>
    <w:rsid w:val="00C447E9"/>
    <w:rsid w:val="00C452D9"/>
    <w:rsid w:val="00C461E3"/>
    <w:rsid w:val="00C474B0"/>
    <w:rsid w:val="00C47BBD"/>
    <w:rsid w:val="00C549D2"/>
    <w:rsid w:val="00C603E3"/>
    <w:rsid w:val="00C6100F"/>
    <w:rsid w:val="00C708F5"/>
    <w:rsid w:val="00C74A75"/>
    <w:rsid w:val="00C74F7E"/>
    <w:rsid w:val="00C91631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2B14"/>
    <w:rsid w:val="00D634AC"/>
    <w:rsid w:val="00D70A9E"/>
    <w:rsid w:val="00D71737"/>
    <w:rsid w:val="00D828C9"/>
    <w:rsid w:val="00D82F18"/>
    <w:rsid w:val="00D87238"/>
    <w:rsid w:val="00D97628"/>
    <w:rsid w:val="00DC1FF6"/>
    <w:rsid w:val="00DC4149"/>
    <w:rsid w:val="00DD023C"/>
    <w:rsid w:val="00DD1D8C"/>
    <w:rsid w:val="00DE5282"/>
    <w:rsid w:val="00DF44B6"/>
    <w:rsid w:val="00DF4E1A"/>
    <w:rsid w:val="00DF558D"/>
    <w:rsid w:val="00E01B0F"/>
    <w:rsid w:val="00E029D3"/>
    <w:rsid w:val="00E13780"/>
    <w:rsid w:val="00E165FA"/>
    <w:rsid w:val="00E26815"/>
    <w:rsid w:val="00E26B27"/>
    <w:rsid w:val="00E27E24"/>
    <w:rsid w:val="00E4143D"/>
    <w:rsid w:val="00E51E1E"/>
    <w:rsid w:val="00E80860"/>
    <w:rsid w:val="00EA44A8"/>
    <w:rsid w:val="00EA6C00"/>
    <w:rsid w:val="00EB3644"/>
    <w:rsid w:val="00EB783A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23C8"/>
    <w:rsid w:val="00F26A57"/>
    <w:rsid w:val="00F34DDA"/>
    <w:rsid w:val="00F37961"/>
    <w:rsid w:val="00F45160"/>
    <w:rsid w:val="00F5118F"/>
    <w:rsid w:val="00F51481"/>
    <w:rsid w:val="00F538BD"/>
    <w:rsid w:val="00F61465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A01DF6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01DF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A01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01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59</cp:revision>
  <cp:lastPrinted>2019-05-20T06:50:00Z</cp:lastPrinted>
  <dcterms:created xsi:type="dcterms:W3CDTF">2018-05-04T05:19:00Z</dcterms:created>
  <dcterms:modified xsi:type="dcterms:W3CDTF">2024-05-23T12:37:00Z</dcterms:modified>
</cp:coreProperties>
</file>