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D" w:rsidRDefault="005946E9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127635</wp:posOffset>
            </wp:positionV>
            <wp:extent cx="838200" cy="942975"/>
            <wp:effectExtent l="19050" t="0" r="0" b="0"/>
            <wp:wrapSquare wrapText="bothSides"/>
            <wp:docPr id="1" name="Рисунок 1" descr="герб в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A8D" w:rsidRDefault="005946E9" w:rsidP="005946E9">
      <w:pPr>
        <w:pStyle w:val="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603A8D" w:rsidRDefault="00603A8D" w:rsidP="00603A8D">
      <w:pPr>
        <w:pStyle w:val="1"/>
        <w:jc w:val="center"/>
        <w:rPr>
          <w:b/>
          <w:sz w:val="24"/>
          <w:szCs w:val="24"/>
        </w:rPr>
      </w:pPr>
    </w:p>
    <w:p w:rsidR="003D0181" w:rsidRPr="00C1551C" w:rsidRDefault="003D0181" w:rsidP="003D0181">
      <w:pPr>
        <w:pStyle w:val="1"/>
        <w:keepNext w:val="0"/>
        <w:widowControl w:val="0"/>
        <w:suppressAutoHyphens/>
        <w:ind w:left="142"/>
        <w:jc w:val="center"/>
        <w:rPr>
          <w:b/>
          <w:sz w:val="36"/>
          <w:szCs w:val="36"/>
        </w:rPr>
      </w:pPr>
      <w:r w:rsidRPr="00C1551C">
        <w:rPr>
          <w:sz w:val="36"/>
          <w:szCs w:val="36"/>
        </w:rPr>
        <w:t>СОВЕТ ДЕПУТАТОВ</w:t>
      </w:r>
    </w:p>
    <w:p w:rsidR="00603A8D" w:rsidRDefault="003D0181" w:rsidP="003D0181">
      <w:pPr>
        <w:pStyle w:val="1"/>
        <w:jc w:val="center"/>
        <w:rPr>
          <w:b/>
          <w:sz w:val="32"/>
          <w:szCs w:val="32"/>
        </w:rPr>
      </w:pPr>
      <w:r w:rsidRPr="00C1551C">
        <w:rPr>
          <w:sz w:val="36"/>
          <w:szCs w:val="36"/>
        </w:rPr>
        <w:t>ГАГАРИНСКОГО ГОРОДСКОГО ПОСЕЛЕНИЯ ГАГАРИНСКОГО РАЙОНА СМОЛЕНСКОЙ ОБЛАСТИ</w:t>
      </w:r>
    </w:p>
    <w:p w:rsidR="00603A8D" w:rsidRDefault="00603A8D" w:rsidP="00603A8D">
      <w:pPr>
        <w:pStyle w:val="2"/>
      </w:pPr>
    </w:p>
    <w:p w:rsidR="00603A8D" w:rsidRDefault="00603A8D" w:rsidP="00603A8D">
      <w:pPr>
        <w:pStyle w:val="2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603A8D" w:rsidRDefault="002606CF" w:rsidP="00603A8D">
      <w:pPr>
        <w:widowControl w:val="0"/>
        <w:autoSpaceDE w:val="0"/>
        <w:autoSpaceDN w:val="0"/>
        <w:adjustRightInd w:val="0"/>
        <w:spacing w:before="200" w:after="200"/>
        <w:jc w:val="both"/>
      </w:pPr>
      <w:r>
        <w:t xml:space="preserve">от </w:t>
      </w:r>
      <w:r w:rsidR="0009256C">
        <w:t>1</w:t>
      </w:r>
      <w:r w:rsidR="004B37C7">
        <w:t>6</w:t>
      </w:r>
      <w:r w:rsidR="000C7B53">
        <w:t xml:space="preserve"> </w:t>
      </w:r>
      <w:r w:rsidR="0009256C">
        <w:t>сентября</w:t>
      </w:r>
      <w:r w:rsidR="000C7B53">
        <w:t xml:space="preserve"> 202</w:t>
      </w:r>
      <w:r w:rsidR="004B37C7">
        <w:t>2</w:t>
      </w:r>
      <w:r w:rsidR="000C7B53">
        <w:t xml:space="preserve"> года № </w:t>
      </w:r>
      <w:r w:rsidR="006171DC">
        <w:t>73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453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</w:t>
      </w:r>
      <w:r w:rsidR="00A34EFD">
        <w:rPr>
          <w:rFonts w:ascii="Times New Roman CYR" w:hAnsi="Times New Roman CYR" w:cs="Times New Roman CYR"/>
        </w:rPr>
        <w:t>й области за перв</w:t>
      </w:r>
      <w:r w:rsidR="0009256C">
        <w:rPr>
          <w:rFonts w:ascii="Times New Roman CYR" w:hAnsi="Times New Roman CYR" w:cs="Times New Roman CYR"/>
        </w:rPr>
        <w:t>ое</w:t>
      </w:r>
      <w:r w:rsidR="00A34EFD">
        <w:rPr>
          <w:rFonts w:ascii="Times New Roman CYR" w:hAnsi="Times New Roman CYR" w:cs="Times New Roman CYR"/>
        </w:rPr>
        <w:t xml:space="preserve"> </w:t>
      </w:r>
      <w:r w:rsidR="0009256C">
        <w:rPr>
          <w:rFonts w:ascii="Times New Roman CYR" w:hAnsi="Times New Roman CYR" w:cs="Times New Roman CYR"/>
        </w:rPr>
        <w:t>полугодие</w:t>
      </w:r>
      <w:r w:rsidR="00A34EFD">
        <w:rPr>
          <w:rFonts w:ascii="Times New Roman CYR" w:hAnsi="Times New Roman CYR" w:cs="Times New Roman CYR"/>
        </w:rPr>
        <w:t xml:space="preserve"> 202</w:t>
      </w:r>
      <w:r w:rsidR="004B37C7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года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Заслушав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Pr="00603A8D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 xml:space="preserve">муниципального образования «Гагаринский район» Смоленской области </w:t>
      </w:r>
      <w:r>
        <w:rPr>
          <w:rFonts w:ascii="Times New Roman CYR" w:hAnsi="Times New Roman CYR" w:cs="Times New Roman CYR"/>
        </w:rPr>
        <w:t xml:space="preserve">Т.В. Кудриной 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</w:t>
      </w:r>
      <w:r w:rsidR="00A34EFD">
        <w:rPr>
          <w:rFonts w:ascii="Times New Roman CYR" w:hAnsi="Times New Roman CYR" w:cs="Times New Roman CYR"/>
        </w:rPr>
        <w:t>а перв</w:t>
      </w:r>
      <w:r w:rsidR="0009256C">
        <w:rPr>
          <w:rFonts w:ascii="Times New Roman CYR" w:hAnsi="Times New Roman CYR" w:cs="Times New Roman CYR"/>
        </w:rPr>
        <w:t>ое</w:t>
      </w:r>
      <w:r w:rsidR="00A34EFD">
        <w:rPr>
          <w:rFonts w:ascii="Times New Roman CYR" w:hAnsi="Times New Roman CYR" w:cs="Times New Roman CYR"/>
        </w:rPr>
        <w:t xml:space="preserve"> </w:t>
      </w:r>
      <w:r w:rsidR="0009256C">
        <w:rPr>
          <w:rFonts w:ascii="Times New Roman CYR" w:hAnsi="Times New Roman CYR" w:cs="Times New Roman CYR"/>
        </w:rPr>
        <w:t>полугодие</w:t>
      </w:r>
      <w:r w:rsidR="00A34EFD">
        <w:rPr>
          <w:rFonts w:ascii="Times New Roman CYR" w:hAnsi="Times New Roman CYR" w:cs="Times New Roman CYR"/>
        </w:rPr>
        <w:t xml:space="preserve"> 202</w:t>
      </w:r>
      <w:r w:rsidR="004B37C7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года, Совет депутатов Гагаринского городского поселения Гагаринского района Смоленской области </w:t>
      </w:r>
    </w:p>
    <w:p w:rsidR="00603A8D" w:rsidRP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900"/>
        <w:jc w:val="center"/>
        <w:rPr>
          <w:rFonts w:ascii="Times New Roman CYR" w:hAnsi="Times New Roman CYR" w:cs="Times New Roman CYR"/>
          <w:b/>
        </w:rPr>
      </w:pPr>
      <w:r w:rsidRPr="00603A8D">
        <w:rPr>
          <w:rFonts w:ascii="Times New Roman CYR" w:hAnsi="Times New Roman CYR" w:cs="Times New Roman CYR"/>
          <w:b/>
        </w:rPr>
        <w:t>РЕШИЛ: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 муниципального образования «Гагаринский район» Смоленской области</w:t>
      </w:r>
      <w:r w:rsidRPr="00603A8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Т.В. Кудриной об</w:t>
      </w:r>
      <w:r w:rsidR="005455EE">
        <w:rPr>
          <w:rFonts w:ascii="Times New Roman CYR" w:hAnsi="Times New Roman CYR" w:cs="Times New Roman CYR"/>
        </w:rPr>
        <w:t xml:space="preserve"> 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за </w:t>
      </w:r>
      <w:r w:rsidR="0009256C">
        <w:rPr>
          <w:rFonts w:ascii="Times New Roman CYR" w:hAnsi="Times New Roman CYR" w:cs="Times New Roman CYR"/>
        </w:rPr>
        <w:t>первое полугодие</w:t>
      </w:r>
      <w:r w:rsidR="00A34EFD">
        <w:rPr>
          <w:rFonts w:ascii="Times New Roman CYR" w:hAnsi="Times New Roman CYR" w:cs="Times New Roman CYR"/>
        </w:rPr>
        <w:t xml:space="preserve"> 202</w:t>
      </w:r>
      <w:r w:rsidR="004B37C7">
        <w:rPr>
          <w:rFonts w:ascii="Times New Roman CYR" w:hAnsi="Times New Roman CYR" w:cs="Times New Roman CYR"/>
        </w:rPr>
        <w:t>2</w:t>
      </w:r>
      <w:r w:rsidR="005455EE">
        <w:rPr>
          <w:rFonts w:ascii="Times New Roman CYR" w:hAnsi="Times New Roman CYR" w:cs="Times New Roman CYR"/>
        </w:rPr>
        <w:t xml:space="preserve"> года принять к сведению согласно приложению</w:t>
      </w:r>
      <w:r>
        <w:rPr>
          <w:rFonts w:ascii="Times New Roman CYR" w:hAnsi="Times New Roman CYR" w:cs="Times New Roman CYR"/>
        </w:rPr>
        <w:t>.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Решение вступает в силу со дня принятия и подлежит официальному опубликованию.</w:t>
      </w:r>
    </w:p>
    <w:p w:rsidR="003D0181" w:rsidRDefault="003D0181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</w:p>
    <w:p w:rsidR="003D0181" w:rsidRPr="00C1551C" w:rsidRDefault="003D0181" w:rsidP="003D0181">
      <w:pPr>
        <w:jc w:val="both"/>
      </w:pPr>
      <w:r w:rsidRPr="00C1551C">
        <w:t>Глава муниципального образования</w:t>
      </w:r>
    </w:p>
    <w:p w:rsidR="003D0181" w:rsidRPr="00C1551C" w:rsidRDefault="003D0181" w:rsidP="003D0181">
      <w:pPr>
        <w:tabs>
          <w:tab w:val="left" w:pos="6075"/>
        </w:tabs>
        <w:jc w:val="both"/>
      </w:pPr>
      <w:r w:rsidRPr="00C1551C">
        <w:t>Гагаринского городского поселения</w:t>
      </w:r>
    </w:p>
    <w:p w:rsidR="003D0181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rPr>
          <w:b/>
        </w:rPr>
      </w:pPr>
      <w:r w:rsidRPr="00C1551C">
        <w:t>Гагаринского района Смоленской области</w:t>
      </w:r>
      <w:r w:rsidRPr="00C1551C">
        <w:tab/>
      </w:r>
      <w:r>
        <w:tab/>
      </w:r>
      <w:r w:rsidRPr="00C1551C">
        <w:tab/>
      </w:r>
      <w:r w:rsidRPr="00C1551C">
        <w:rPr>
          <w:b/>
        </w:rPr>
        <w:t>Н.Л. Ченцова</w:t>
      </w:r>
    </w:p>
    <w:p w:rsidR="003D0181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ind w:left="-1134"/>
        <w:jc w:val="right"/>
        <w:rPr>
          <w:b/>
        </w:rPr>
      </w:pPr>
    </w:p>
    <w:p w:rsidR="003D0181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ind w:left="-1134"/>
        <w:jc w:val="right"/>
        <w:rPr>
          <w:b/>
        </w:rPr>
      </w:pPr>
    </w:p>
    <w:p w:rsidR="00440879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ind w:left="-1134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</w:t>
      </w:r>
      <w:r w:rsidR="00440879">
        <w:rPr>
          <w:rFonts w:ascii="Times New Roman CYR" w:hAnsi="Times New Roman CYR" w:cs="Times New Roman CYR"/>
          <w:sz w:val="24"/>
          <w:szCs w:val="24"/>
        </w:rPr>
        <w:t>Приложение к решению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Совета депутатов города Гагарин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Смоленской области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09256C">
        <w:rPr>
          <w:rFonts w:ascii="Times New Roman CYR" w:hAnsi="Times New Roman CYR" w:cs="Times New Roman CYR"/>
          <w:sz w:val="24"/>
          <w:szCs w:val="24"/>
        </w:rPr>
        <w:t>1</w:t>
      </w:r>
      <w:r w:rsidR="004B37C7">
        <w:rPr>
          <w:rFonts w:ascii="Times New Roman CYR" w:hAnsi="Times New Roman CYR" w:cs="Times New Roman CYR"/>
          <w:sz w:val="24"/>
          <w:szCs w:val="24"/>
        </w:rPr>
        <w:t>6</w:t>
      </w:r>
      <w:r w:rsidR="000C7B5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9256C">
        <w:rPr>
          <w:rFonts w:ascii="Times New Roman CYR" w:hAnsi="Times New Roman CYR" w:cs="Times New Roman CYR"/>
          <w:sz w:val="24"/>
          <w:szCs w:val="24"/>
        </w:rPr>
        <w:t>сентября</w:t>
      </w:r>
      <w:r w:rsidR="000C7B53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4B37C7">
        <w:rPr>
          <w:rFonts w:ascii="Times New Roman CYR" w:hAnsi="Times New Roman CYR" w:cs="Times New Roman CYR"/>
          <w:sz w:val="24"/>
          <w:szCs w:val="24"/>
        </w:rPr>
        <w:t>2</w:t>
      </w:r>
      <w:r w:rsidR="000C7B53">
        <w:rPr>
          <w:rFonts w:ascii="Times New Roman CYR" w:hAnsi="Times New Roman CYR" w:cs="Times New Roman CYR"/>
          <w:sz w:val="24"/>
          <w:szCs w:val="24"/>
        </w:rPr>
        <w:t xml:space="preserve"> года</w:t>
      </w:r>
      <w:r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6171DC">
        <w:rPr>
          <w:rFonts w:ascii="Times New Roman CYR" w:hAnsi="Times New Roman CYR" w:cs="Times New Roman CYR"/>
          <w:sz w:val="24"/>
          <w:szCs w:val="24"/>
        </w:rPr>
        <w:t>73</w:t>
      </w:r>
    </w:p>
    <w:p w:rsidR="00865362" w:rsidRDefault="00865362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5000" w:type="pct"/>
        <w:tblLook w:val="04A0"/>
      </w:tblPr>
      <w:tblGrid>
        <w:gridCol w:w="2027"/>
        <w:gridCol w:w="1381"/>
        <w:gridCol w:w="1161"/>
        <w:gridCol w:w="1021"/>
        <w:gridCol w:w="1088"/>
        <w:gridCol w:w="1021"/>
        <w:gridCol w:w="1067"/>
        <w:gridCol w:w="1088"/>
      </w:tblGrid>
      <w:tr w:rsidR="00A86D0B" w:rsidRPr="00A86D0B" w:rsidTr="00A86D0B">
        <w:trPr>
          <w:trHeight w:val="82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2:H73"/>
            <w:r w:rsidRPr="00A86D0B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 Гагаринского городского поселения Гагаринского района Смоленской области за 1 полугодие 2022 года</w:t>
            </w:r>
            <w:bookmarkEnd w:id="0"/>
          </w:p>
        </w:tc>
      </w:tr>
      <w:tr w:rsidR="00865362" w:rsidRPr="00A86D0B" w:rsidTr="00865362">
        <w:trPr>
          <w:trHeight w:val="1560"/>
        </w:trPr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Уточненный план на 2022 год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Исполнено за 1 полугодие 2022 года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% исполнения за 1 полугодие 2022 года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Исполнено  за 1 полугодие 2021 года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отклонение (факт 2022-2021)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%              роста исполнения 2022 к 2021 году</w:t>
            </w:r>
          </w:p>
        </w:tc>
      </w:tr>
      <w:tr w:rsidR="00865362" w:rsidRPr="00A86D0B" w:rsidTr="00865362">
        <w:trPr>
          <w:trHeight w:val="36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       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 xml:space="preserve">1 00 00000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99 513,0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38 847,6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40 565,3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-1 717,7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95,8</w:t>
            </w:r>
          </w:p>
        </w:tc>
      </w:tr>
      <w:tr w:rsidR="00A86D0B" w:rsidRPr="00A86D0B" w:rsidTr="00865362">
        <w:trPr>
          <w:trHeight w:val="323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1 01 00000 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63 341,6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29 623,3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46,8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25 324,3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4 299,0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117,0</w:t>
            </w:r>
          </w:p>
        </w:tc>
      </w:tr>
      <w:tr w:rsidR="00A86D0B" w:rsidRPr="00A86D0B" w:rsidTr="00865362">
        <w:trPr>
          <w:trHeight w:val="323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 xml:space="preserve">1 01 02000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63 341,6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29 623,3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46,8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25 324,3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4 299,0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117,0</w:t>
            </w:r>
          </w:p>
        </w:tc>
      </w:tr>
      <w:tr w:rsidR="00A86D0B" w:rsidRPr="00A86D0B" w:rsidTr="00865362">
        <w:trPr>
          <w:trHeight w:val="54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ТОВАРЫ, РЕАЛИЗУЕМЫЕ НА ТЕРРИТОРИИ РФ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1 03 00000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2 602,4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1 409,3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1 186,7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222,6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118,8</w:t>
            </w:r>
          </w:p>
        </w:tc>
      </w:tr>
      <w:tr w:rsidR="00A86D0B" w:rsidRPr="00A86D0B" w:rsidTr="00865362">
        <w:trPr>
          <w:trHeight w:val="31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 xml:space="preserve">1 03 02000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2 602,4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1 409,3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54,2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1 186,7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222,6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118,8</w:t>
            </w:r>
          </w:p>
        </w:tc>
      </w:tr>
      <w:tr w:rsidR="00A86D0B" w:rsidRPr="00A86D0B" w:rsidTr="00865362">
        <w:trPr>
          <w:trHeight w:val="31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1 06 00000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29 763,4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4 721,6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9 309,0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-4 587,4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86D0B" w:rsidRPr="00A86D0B" w:rsidTr="00865362">
        <w:trPr>
          <w:trHeight w:val="30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 xml:space="preserve">1 06 01000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8 195,3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760,0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9,3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839,1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-79,1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90,6</w:t>
            </w:r>
          </w:p>
        </w:tc>
      </w:tr>
      <w:tr w:rsidR="00A86D0B" w:rsidRPr="00A86D0B" w:rsidTr="00865362">
        <w:trPr>
          <w:trHeight w:val="349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Земельный налог, в том числе: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 xml:space="preserve">1 06 06000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21 568,1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3 961,6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18,4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8 469,9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-4 508,3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86D0B" w:rsidRPr="00A86D0B" w:rsidTr="00865362">
        <w:trPr>
          <w:trHeight w:val="349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i/>
                <w:i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1 06 06030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15 991,0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6 060,7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37,9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7 781,1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-1 720,4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77,9</w:t>
            </w:r>
          </w:p>
        </w:tc>
      </w:tr>
      <w:tr w:rsidR="00A86D0B" w:rsidRPr="00A86D0B" w:rsidTr="00865362">
        <w:trPr>
          <w:trHeight w:val="349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i/>
                <w:i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1 06 06040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5 577,1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-2 099,1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688,8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-2 787,9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86D0B" w:rsidRPr="00A86D0B" w:rsidTr="00865362">
        <w:trPr>
          <w:trHeight w:val="81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 МУНИЦИПАЛЬНОЙ СОБСТВЕННОСТИ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1 11 00000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3 728,6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2 278,6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61,1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2 193,0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85,6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103,9</w:t>
            </w:r>
          </w:p>
        </w:tc>
      </w:tr>
      <w:tr w:rsidR="00A86D0B" w:rsidRPr="00A86D0B" w:rsidTr="00865362">
        <w:trPr>
          <w:trHeight w:val="51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i/>
                <w:iCs/>
                <w:color w:val="000000"/>
                <w:sz w:val="20"/>
                <w:szCs w:val="20"/>
              </w:rPr>
              <w:t>Доходы, полученные в виде арендной платы за земельные участки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i/>
                <w:iCs/>
                <w:color w:val="000000"/>
                <w:sz w:val="20"/>
                <w:szCs w:val="20"/>
              </w:rPr>
              <w:t xml:space="preserve">1 11 05010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1 300,0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871,2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67,0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848,8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22,4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102,6</w:t>
            </w:r>
          </w:p>
        </w:tc>
      </w:tr>
      <w:tr w:rsidR="00A86D0B" w:rsidRPr="00A86D0B" w:rsidTr="00865362">
        <w:trPr>
          <w:trHeight w:val="37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i/>
                <w:iCs/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i/>
                <w:iCs/>
                <w:color w:val="000000"/>
                <w:sz w:val="20"/>
                <w:szCs w:val="20"/>
              </w:rPr>
              <w:t xml:space="preserve">1 11 05030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2 428,6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1 385,2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1 344,2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41,0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103,1</w:t>
            </w:r>
          </w:p>
        </w:tc>
      </w:tr>
      <w:tr w:rsidR="00A86D0B" w:rsidRPr="00A86D0B" w:rsidTr="00865362">
        <w:trPr>
          <w:trHeight w:val="37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Плата за размещение нестационарных торговых объектов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i/>
                <w:iCs/>
                <w:color w:val="000000"/>
                <w:sz w:val="20"/>
                <w:szCs w:val="20"/>
              </w:rPr>
              <w:t>1 11 09000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22,2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22,2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86D0B" w:rsidRPr="00A86D0B" w:rsidTr="00865362">
        <w:trPr>
          <w:trHeight w:val="54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ОКАЗАНИЯ ПЛАТНЫХ УСЛУГ </w:t>
            </w:r>
            <w:r w:rsidRPr="00A86D0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 КОМПЕНСАЦИИ ЗАТРАТ ГОСУДАРСТВА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1 13 00000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157,1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204,0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230,8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-73,7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68,1</w:t>
            </w:r>
          </w:p>
        </w:tc>
      </w:tr>
      <w:tr w:rsidR="00A86D0B" w:rsidRPr="00A86D0B" w:rsidTr="00865362">
        <w:trPr>
          <w:trHeight w:val="51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lastRenderedPageBreak/>
              <w:t>Прочие доходы от оказания платных услуг и компенсации затрат бюджетов городских поселений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 xml:space="preserve">1 13 02995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77,0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157,1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204,0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230,8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-73,7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68,1</w:t>
            </w:r>
          </w:p>
        </w:tc>
      </w:tr>
      <w:tr w:rsidR="00A86D0B" w:rsidRPr="00A86D0B" w:rsidTr="00865362">
        <w:trPr>
          <w:trHeight w:val="54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1 14 00000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653,6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762,9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-109,3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85,7</w:t>
            </w:r>
          </w:p>
        </w:tc>
      </w:tr>
      <w:tr w:rsidR="00A86D0B" w:rsidRPr="00A86D0B" w:rsidTr="00865362">
        <w:trPr>
          <w:trHeight w:val="51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 которые не разграничена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 xml:space="preserve">1 14 06013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653,6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334,3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319,3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195,5</w:t>
            </w:r>
          </w:p>
        </w:tc>
      </w:tr>
      <w:tr w:rsidR="00A86D0B" w:rsidRPr="00A86D0B" w:rsidTr="00865362">
        <w:trPr>
          <w:trHeight w:val="51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 xml:space="preserve">1 14 06025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428,6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-428,6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A86D0B" w:rsidRPr="00A86D0B" w:rsidTr="00865362">
        <w:trPr>
          <w:trHeight w:val="383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1 16 00000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4,1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1 558,6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-1 554,5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0,3</w:t>
            </w:r>
          </w:p>
        </w:tc>
      </w:tr>
      <w:tr w:rsidR="00A86D0B" w:rsidRPr="00A86D0B" w:rsidTr="00865362">
        <w:trPr>
          <w:trHeight w:val="85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 xml:space="preserve">Плата за возмещение вреда  автомобильным дорогам транспортными средствами, осуществляющими перевозки тяжеловесных (крупногабаритных) грузов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 xml:space="preserve">1 16 37000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1 558,6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-1 558,6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86D0B" w:rsidRPr="00A86D0B" w:rsidTr="00865362">
        <w:trPr>
          <w:trHeight w:val="133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proofErr w:type="gramStart"/>
            <w:r w:rsidRPr="00A86D0B">
              <w:rPr>
                <w:color w:val="000000"/>
                <w:sz w:val="20"/>
                <w:szCs w:val="20"/>
              </w:rPr>
              <w:t>,(</w:t>
            </w:r>
            <w:proofErr w:type="gramEnd"/>
            <w:r w:rsidRPr="00A86D0B">
              <w:rPr>
                <w:color w:val="000000"/>
                <w:sz w:val="20"/>
                <w:szCs w:val="20"/>
              </w:rPr>
              <w:t>муниципальным казенным учреждением) городского поселения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1 16 070900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4,1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4,1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86D0B" w:rsidRPr="00A86D0B" w:rsidTr="00865362">
        <w:trPr>
          <w:trHeight w:val="42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 xml:space="preserve">1 17 00000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865362" w:rsidRPr="00A86D0B" w:rsidTr="00865362">
        <w:trPr>
          <w:trHeight w:val="42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200  00000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164 531,7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2 168,0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1 451,5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716,5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149,4</w:t>
            </w:r>
          </w:p>
        </w:tc>
      </w:tr>
      <w:tr w:rsidR="00865362" w:rsidRPr="00A86D0B" w:rsidTr="00865362">
        <w:trPr>
          <w:trHeight w:val="589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86D0B" w:rsidRPr="00A86D0B" w:rsidRDefault="00A86D0B" w:rsidP="00A86D0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202  00000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164 531,7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2 168,0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1 451,5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716,5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D0B">
              <w:rPr>
                <w:b/>
                <w:bCs/>
                <w:i/>
                <w:iCs/>
                <w:sz w:val="20"/>
                <w:szCs w:val="20"/>
              </w:rPr>
              <w:t>149,4</w:t>
            </w:r>
          </w:p>
        </w:tc>
      </w:tr>
      <w:tr w:rsidR="00A86D0B" w:rsidRPr="00A86D0B" w:rsidTr="00865362">
        <w:trPr>
          <w:trHeight w:val="529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D0B" w:rsidRPr="00A86D0B" w:rsidRDefault="00A86D0B" w:rsidP="00A86D0B">
            <w:pPr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202  16001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3 019,6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1 509,6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50,0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1 451,5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58,1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104,0</w:t>
            </w:r>
          </w:p>
        </w:tc>
      </w:tr>
      <w:tr w:rsidR="00A86D0B" w:rsidRPr="00A86D0B" w:rsidTr="00865362">
        <w:trPr>
          <w:trHeight w:val="409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Субсидии бюджетам бюджетной системы РФ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 xml:space="preserve">2 02 20000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161 512,1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658,4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658,4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86D0B" w:rsidRPr="00A86D0B" w:rsidTr="00865362">
        <w:trPr>
          <w:trHeight w:val="156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i/>
                <w:iCs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6D0B">
              <w:rPr>
                <w:i/>
                <w:iCs/>
                <w:color w:val="000000"/>
                <w:sz w:val="18"/>
                <w:szCs w:val="18"/>
              </w:rPr>
              <w:t>2 02 20299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18"/>
                <w:szCs w:val="18"/>
              </w:rPr>
            </w:pPr>
            <w:r w:rsidRPr="00A86D0B">
              <w:rPr>
                <w:i/>
                <w:iCs/>
                <w:sz w:val="18"/>
                <w:szCs w:val="18"/>
              </w:rPr>
              <w:t>13 802,0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18"/>
                <w:szCs w:val="18"/>
              </w:rPr>
            </w:pPr>
            <w:r w:rsidRPr="00A86D0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18"/>
                <w:szCs w:val="18"/>
              </w:rPr>
            </w:pPr>
            <w:r w:rsidRPr="00A86D0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18"/>
                <w:szCs w:val="18"/>
              </w:rPr>
            </w:pPr>
            <w:r w:rsidRPr="00A86D0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18"/>
                <w:szCs w:val="18"/>
              </w:rPr>
            </w:pPr>
            <w:r w:rsidRPr="00A86D0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86D0B" w:rsidRPr="00A86D0B" w:rsidTr="00865362">
        <w:trPr>
          <w:trHeight w:val="105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i/>
                <w:iCs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за счет средств бюджетов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6D0B">
              <w:rPr>
                <w:i/>
                <w:iCs/>
                <w:color w:val="000000"/>
                <w:sz w:val="18"/>
                <w:szCs w:val="18"/>
              </w:rPr>
              <w:t>20 220 302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18"/>
                <w:szCs w:val="18"/>
              </w:rPr>
            </w:pPr>
            <w:r w:rsidRPr="00A86D0B">
              <w:rPr>
                <w:i/>
                <w:iCs/>
                <w:sz w:val="18"/>
                <w:szCs w:val="18"/>
              </w:rPr>
              <w:t>6 286,7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18"/>
                <w:szCs w:val="18"/>
              </w:rPr>
            </w:pPr>
            <w:r w:rsidRPr="00A86D0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18"/>
                <w:szCs w:val="18"/>
              </w:rPr>
            </w:pPr>
            <w:r w:rsidRPr="00A86D0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18"/>
                <w:szCs w:val="18"/>
              </w:rPr>
            </w:pPr>
            <w:r w:rsidRPr="00A86D0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18"/>
                <w:szCs w:val="18"/>
              </w:rPr>
            </w:pPr>
            <w:r w:rsidRPr="00A86D0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86D0B" w:rsidRPr="00A86D0B" w:rsidTr="00865362">
        <w:trPr>
          <w:trHeight w:val="81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6D0B">
              <w:rPr>
                <w:i/>
                <w:iCs/>
                <w:color w:val="000000"/>
                <w:sz w:val="18"/>
                <w:szCs w:val="18"/>
              </w:rPr>
              <w:t xml:space="preserve">2 02 25555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18"/>
                <w:szCs w:val="18"/>
              </w:rPr>
            </w:pPr>
            <w:r w:rsidRPr="00A86D0B">
              <w:rPr>
                <w:i/>
                <w:iCs/>
                <w:sz w:val="18"/>
                <w:szCs w:val="18"/>
              </w:rPr>
              <w:t>14 886,7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18"/>
                <w:szCs w:val="18"/>
              </w:rPr>
            </w:pPr>
            <w:r w:rsidRPr="00A86D0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18"/>
                <w:szCs w:val="18"/>
              </w:rPr>
            </w:pPr>
            <w:r w:rsidRPr="00A86D0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18"/>
                <w:szCs w:val="18"/>
              </w:rPr>
            </w:pPr>
            <w:r w:rsidRPr="00A86D0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18"/>
                <w:szCs w:val="18"/>
              </w:rPr>
            </w:pPr>
            <w:r w:rsidRPr="00A86D0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86D0B" w:rsidRPr="00A86D0B" w:rsidTr="00865362">
        <w:trPr>
          <w:trHeight w:val="42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6D0B">
              <w:rPr>
                <w:i/>
                <w:iCs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86D0B">
              <w:rPr>
                <w:i/>
                <w:iCs/>
                <w:color w:val="000000"/>
                <w:sz w:val="18"/>
                <w:szCs w:val="18"/>
              </w:rPr>
              <w:t xml:space="preserve">2 02 29999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18"/>
                <w:szCs w:val="18"/>
              </w:rPr>
            </w:pPr>
            <w:r w:rsidRPr="00A86D0B">
              <w:rPr>
                <w:i/>
                <w:iCs/>
                <w:sz w:val="18"/>
                <w:szCs w:val="18"/>
              </w:rPr>
              <w:t>126 536,7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18"/>
                <w:szCs w:val="18"/>
              </w:rPr>
            </w:pPr>
            <w:r w:rsidRPr="00A86D0B">
              <w:rPr>
                <w:i/>
                <w:iCs/>
                <w:sz w:val="18"/>
                <w:szCs w:val="18"/>
              </w:rPr>
              <w:t>658,4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18"/>
                <w:szCs w:val="18"/>
              </w:rPr>
            </w:pPr>
            <w:r w:rsidRPr="00A86D0B"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18"/>
                <w:szCs w:val="18"/>
              </w:rPr>
            </w:pPr>
            <w:r w:rsidRPr="00A86D0B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18"/>
                <w:szCs w:val="18"/>
              </w:rPr>
            </w:pPr>
            <w:r w:rsidRPr="00A86D0B">
              <w:rPr>
                <w:i/>
                <w:iCs/>
                <w:sz w:val="18"/>
                <w:szCs w:val="18"/>
              </w:rPr>
              <w:t>658,4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86D0B" w:rsidRPr="00A86D0B" w:rsidTr="00865362">
        <w:trPr>
          <w:trHeight w:val="683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 xml:space="preserve">ВОЗВРАТ ОСТАТКОВ СУБСИДИЙ, СУБВЕНЦИЙ, </w:t>
            </w:r>
            <w:r w:rsidRPr="00A86D0B">
              <w:rPr>
                <w:color w:val="000000"/>
                <w:sz w:val="20"/>
                <w:szCs w:val="20"/>
              </w:rPr>
              <w:lastRenderedPageBreak/>
              <w:t>ИНЫХ МЕЖБ. ТРАНСФЕРТОВ ПРОШЛЫХ ЛЕТ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lastRenderedPageBreak/>
              <w:t xml:space="preserve">2 19 00000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i/>
                <w:iCs/>
                <w:sz w:val="20"/>
                <w:szCs w:val="20"/>
              </w:rPr>
            </w:pPr>
            <w:r w:rsidRPr="00A86D0B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865362" w:rsidRPr="00A86D0B" w:rsidTr="00865362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 ДОХОДОВ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264 044,7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41 015,6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42 016,8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-1 001,2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97,6</w:t>
            </w:r>
          </w:p>
        </w:tc>
      </w:tr>
      <w:tr w:rsidR="00A86D0B" w:rsidRPr="00A86D0B" w:rsidTr="00A86D0B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5362" w:rsidRPr="00A86D0B" w:rsidTr="00865362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A86D0B" w:rsidRPr="00A86D0B" w:rsidRDefault="00A86D0B" w:rsidP="00A86D0B">
            <w:pPr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A86D0B" w:rsidRPr="00A86D0B" w:rsidRDefault="00A86D0B" w:rsidP="00A86D0B">
            <w:pPr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A86D0B" w:rsidRPr="00A86D0B" w:rsidRDefault="00A86D0B" w:rsidP="00A86D0B">
            <w:pPr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A86D0B" w:rsidRPr="00A86D0B" w:rsidRDefault="00A86D0B" w:rsidP="00A86D0B">
            <w:pPr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A86D0B" w:rsidRPr="00A86D0B" w:rsidRDefault="00A86D0B" w:rsidP="00A86D0B">
            <w:pPr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A86D0B" w:rsidRPr="00A86D0B" w:rsidRDefault="00A86D0B" w:rsidP="00A86D0B">
            <w:pPr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 </w:t>
            </w:r>
          </w:p>
        </w:tc>
      </w:tr>
      <w:tr w:rsidR="00865362" w:rsidRPr="00A86D0B" w:rsidTr="00865362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10 536,7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3 541,9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33,6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4 252,6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-710,7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83,3</w:t>
            </w:r>
          </w:p>
        </w:tc>
      </w:tr>
      <w:tr w:rsidR="00865362" w:rsidRPr="00A86D0B" w:rsidTr="00865362">
        <w:trPr>
          <w:trHeight w:val="76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692,8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321,9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46,5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453,8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-131,9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70,93</w:t>
            </w:r>
          </w:p>
        </w:tc>
      </w:tr>
      <w:tr w:rsidR="00865362" w:rsidRPr="00A86D0B" w:rsidTr="00865362">
        <w:trPr>
          <w:trHeight w:val="76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1 922,8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827,6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43,0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917,7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-90,1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90,2</w:t>
            </w:r>
          </w:p>
        </w:tc>
      </w:tr>
      <w:tr w:rsidR="00865362" w:rsidRPr="00A86D0B" w:rsidTr="00865362">
        <w:trPr>
          <w:trHeight w:val="76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29,6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29,6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29,3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101,0</w:t>
            </w:r>
          </w:p>
        </w:tc>
      </w:tr>
      <w:tr w:rsidR="00865362" w:rsidRPr="00A86D0B" w:rsidTr="00865362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1 000,0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1 000,0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1 000,0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</w:t>
            </w:r>
          </w:p>
        </w:tc>
      </w:tr>
      <w:tr w:rsidR="00865362" w:rsidRPr="00A86D0B" w:rsidTr="00865362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2 000,0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</w:t>
            </w:r>
          </w:p>
        </w:tc>
      </w:tr>
      <w:tr w:rsidR="00865362" w:rsidRPr="00A86D0B" w:rsidTr="00865362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0113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4 891,5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1 362,8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27,9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2 851,8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-1 489,0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47,8</w:t>
            </w:r>
          </w:p>
        </w:tc>
      </w:tr>
      <w:tr w:rsidR="00865362" w:rsidRPr="00A86D0B" w:rsidTr="00865362">
        <w:trPr>
          <w:trHeight w:val="51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3 172,0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247,0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919,3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-672,3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26,9</w:t>
            </w:r>
          </w:p>
        </w:tc>
      </w:tr>
      <w:tr w:rsidR="00865362" w:rsidRPr="00A86D0B" w:rsidTr="00865362">
        <w:trPr>
          <w:trHeight w:val="36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0309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919,3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-919,3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</w:tr>
      <w:tr w:rsidR="00865362" w:rsidRPr="00A86D0B" w:rsidTr="00865362">
        <w:trPr>
          <w:trHeight w:val="81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0310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3 172,0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247,0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7,8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247,0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</w:t>
            </w:r>
          </w:p>
        </w:tc>
      </w:tr>
      <w:tr w:rsidR="00865362" w:rsidRPr="00A86D0B" w:rsidTr="00865362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52 086,8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2 615,0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2 302,8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312,2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113,6</w:t>
            </w:r>
          </w:p>
        </w:tc>
      </w:tr>
      <w:tr w:rsidR="00865362" w:rsidRPr="00A86D0B" w:rsidTr="00865362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0409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50 516,8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2 579,0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5,1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2 217,8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361,2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116,3</w:t>
            </w:r>
          </w:p>
        </w:tc>
      </w:tr>
      <w:tr w:rsidR="00865362" w:rsidRPr="00A86D0B" w:rsidTr="00865362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 xml:space="preserve">Другие вопросы в </w:t>
            </w:r>
            <w:r w:rsidRPr="00A86D0B">
              <w:rPr>
                <w:color w:val="000000"/>
                <w:sz w:val="20"/>
                <w:szCs w:val="20"/>
              </w:rPr>
              <w:lastRenderedPageBreak/>
              <w:t>области национальной экономики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1 570,0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36,0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85,0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-49,0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</w:t>
            </w:r>
          </w:p>
        </w:tc>
      </w:tr>
      <w:tr w:rsidR="00865362" w:rsidRPr="00A86D0B" w:rsidTr="00865362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211 226,9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30 892,5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28 922,8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1 969,7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106,8</w:t>
            </w:r>
          </w:p>
        </w:tc>
      </w:tr>
      <w:tr w:rsidR="00865362" w:rsidRPr="00A86D0B" w:rsidTr="00865362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29 207,7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2 341,6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8,0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2 083,8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257,8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112,4</w:t>
            </w:r>
          </w:p>
        </w:tc>
      </w:tr>
      <w:tr w:rsidR="00865362" w:rsidRPr="00A86D0B" w:rsidTr="00865362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116 836,5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1 763,3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3 438,0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-1 674,7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51,3</w:t>
            </w:r>
          </w:p>
        </w:tc>
      </w:tr>
      <w:tr w:rsidR="00865362" w:rsidRPr="00A86D0B" w:rsidTr="00865362">
        <w:trPr>
          <w:trHeight w:val="40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65 182,7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26 787,6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41,1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23 401,0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3 386,6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114,5</w:t>
            </w:r>
          </w:p>
        </w:tc>
      </w:tr>
      <w:tr w:rsidR="00865362" w:rsidRPr="00A86D0B" w:rsidTr="00865362">
        <w:trPr>
          <w:trHeight w:val="40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65362" w:rsidRPr="00A86D0B" w:rsidTr="00865362">
        <w:trPr>
          <w:trHeight w:val="40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40,0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</w:t>
            </w:r>
          </w:p>
        </w:tc>
      </w:tr>
      <w:tr w:rsidR="00865362" w:rsidRPr="00A86D0B" w:rsidTr="00865362">
        <w:trPr>
          <w:trHeight w:val="27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45,1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111,4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-66,3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40,5</w:t>
            </w:r>
          </w:p>
        </w:tc>
      </w:tr>
      <w:tr w:rsidR="00865362" w:rsidRPr="00A86D0B" w:rsidTr="00865362">
        <w:trPr>
          <w:trHeight w:val="27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140,0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45,1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32,2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111,4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-66,3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40,5</w:t>
            </w:r>
          </w:p>
        </w:tc>
      </w:tr>
      <w:tr w:rsidR="00865362" w:rsidRPr="00A86D0B" w:rsidTr="00865362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1 067,0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913,0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85,6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1 216,9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-303,9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865362" w:rsidRPr="00A86D0B" w:rsidTr="00865362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1 000,0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891,0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89,1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1 192,9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-301,9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74,7</w:t>
            </w:r>
          </w:p>
        </w:tc>
      </w:tr>
      <w:tr w:rsidR="00865362" w:rsidRPr="00A86D0B" w:rsidTr="00865362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67,0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22,0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32,8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24,0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-2,0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91,7</w:t>
            </w:r>
          </w:p>
        </w:tc>
      </w:tr>
      <w:tr w:rsidR="00865362" w:rsidRPr="00A86D0B" w:rsidTr="00865362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1 215,4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284,4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337,8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-53,4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84,2</w:t>
            </w:r>
          </w:p>
        </w:tc>
      </w:tr>
      <w:tr w:rsidR="00865362" w:rsidRPr="00A86D0B" w:rsidTr="00865362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347,9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175,1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50,3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136,8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38,3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128,0</w:t>
            </w:r>
          </w:p>
        </w:tc>
      </w:tr>
      <w:tr w:rsidR="00865362" w:rsidRPr="00A86D0B" w:rsidTr="00865362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867,5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109,3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12,6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201,0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-91,7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54,4</w:t>
            </w:r>
          </w:p>
        </w:tc>
      </w:tr>
      <w:tr w:rsidR="00865362" w:rsidRPr="00A86D0B" w:rsidTr="00865362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401,4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57,3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302,2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132,8</w:t>
            </w:r>
          </w:p>
        </w:tc>
      </w:tr>
      <w:tr w:rsidR="00865362" w:rsidRPr="00A86D0B" w:rsidTr="00865362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1102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700,0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401,4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57,3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302,2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99,2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132,8</w:t>
            </w:r>
          </w:p>
        </w:tc>
      </w:tr>
      <w:tr w:rsidR="00865362" w:rsidRPr="00A86D0B" w:rsidTr="00865362">
        <w:trPr>
          <w:trHeight w:val="51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65362" w:rsidRPr="00A86D0B" w:rsidTr="00865362">
        <w:trPr>
          <w:trHeight w:val="51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1301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24,0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0,0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</w:t>
            </w:r>
          </w:p>
        </w:tc>
      </w:tr>
      <w:tr w:rsidR="00865362" w:rsidRPr="00A86D0B" w:rsidTr="00865362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D0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280 208,8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38 940,3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13,9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38 365,8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574,5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0B">
              <w:rPr>
                <w:b/>
                <w:bCs/>
                <w:sz w:val="20"/>
                <w:szCs w:val="20"/>
              </w:rPr>
              <w:t>101,5</w:t>
            </w:r>
          </w:p>
        </w:tc>
      </w:tr>
      <w:tr w:rsidR="00A86D0B" w:rsidRPr="00A86D0B" w:rsidTr="00865362">
        <w:trPr>
          <w:trHeight w:val="51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color w:val="000000"/>
                <w:sz w:val="20"/>
                <w:szCs w:val="20"/>
              </w:rPr>
            </w:pPr>
            <w:r w:rsidRPr="00A86D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-7 494,0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2 075,3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proofErr w:type="spellStart"/>
            <w:r w:rsidRPr="00A86D0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r w:rsidRPr="00A86D0B">
              <w:rPr>
                <w:sz w:val="20"/>
                <w:szCs w:val="20"/>
              </w:rPr>
              <w:t>3 651,0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proofErr w:type="spellStart"/>
            <w:r w:rsidRPr="00A86D0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  <w:proofErr w:type="spellStart"/>
            <w:r w:rsidRPr="00A86D0B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A86D0B" w:rsidRPr="00A86D0B" w:rsidTr="00865362">
        <w:trPr>
          <w:trHeight w:val="255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6D0B" w:rsidRPr="00A86D0B" w:rsidTr="00865362">
        <w:trPr>
          <w:trHeight w:val="525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D0B" w:rsidRPr="00A86D0B" w:rsidRDefault="00A86D0B" w:rsidP="00A86D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D0B" w:rsidRPr="00A86D0B" w:rsidRDefault="00A86D0B" w:rsidP="00A86D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CD16C5" w:rsidRDefault="00CD16C5" w:rsidP="0080722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6C5" w:rsidRDefault="00CD16C5" w:rsidP="0080722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6C5" w:rsidRDefault="00CD16C5" w:rsidP="0080722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6C5" w:rsidRDefault="00CD16C5" w:rsidP="0080722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7224" w:rsidRPr="00E55115" w:rsidRDefault="00807224" w:rsidP="0080722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807224" w:rsidRPr="00E55115" w:rsidRDefault="00807224" w:rsidP="0080722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807224" w:rsidRPr="00E55115" w:rsidRDefault="00807224" w:rsidP="0080722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предусмотренных за счет средств бюджета Гагаринского городского поселения Гагаринского района Смоленской области</w:t>
      </w:r>
      <w:r w:rsidRPr="00E55115">
        <w:rPr>
          <w:rFonts w:ascii="Times New Roman" w:hAnsi="Times New Roman" w:cs="Times New Roman"/>
          <w:sz w:val="28"/>
          <w:szCs w:val="28"/>
        </w:rPr>
        <w:t xml:space="preserve"> по состоянию </w:t>
      </w:r>
    </w:p>
    <w:p w:rsidR="00807224" w:rsidRPr="00CD4F90" w:rsidRDefault="00807224" w:rsidP="0080722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01.</w:t>
      </w:r>
      <w:r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807224" w:rsidRDefault="00807224" w:rsidP="0080722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7224" w:rsidRPr="00E55115" w:rsidRDefault="00807224" w:rsidP="0080722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66"/>
        <w:gridCol w:w="2759"/>
        <w:gridCol w:w="1695"/>
        <w:gridCol w:w="1758"/>
      </w:tblGrid>
      <w:tr w:rsidR="00807224" w:rsidRPr="00E36125" w:rsidTr="00807224">
        <w:trPr>
          <w:cantSplit/>
          <w:trHeight w:val="72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E36125" w:rsidRDefault="00807224" w:rsidP="007972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Гагаринского городского поселения Гагаринского района Смоленской области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E36125" w:rsidRDefault="00807224" w:rsidP="007972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E36125" w:rsidRDefault="00807224" w:rsidP="007972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24" w:rsidRPr="00E36125" w:rsidRDefault="00807224" w:rsidP="007972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807224" w:rsidRPr="00E36125" w:rsidTr="00807224">
        <w:trPr>
          <w:cantSplit/>
          <w:trHeight w:val="24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E36125" w:rsidRDefault="00807224" w:rsidP="007972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E36125" w:rsidRDefault="00807224" w:rsidP="007972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E36125" w:rsidRDefault="00807224" w:rsidP="007972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24" w:rsidRPr="00E36125" w:rsidRDefault="00807224" w:rsidP="007972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224" w:rsidRPr="00E36125" w:rsidTr="00807224">
        <w:trPr>
          <w:cantSplit/>
          <w:trHeight w:val="72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E3203D" w:rsidRDefault="00807224" w:rsidP="007972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E3203D" w:rsidRDefault="00807224" w:rsidP="007972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8120027770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E3203D" w:rsidRDefault="00807224" w:rsidP="007972D2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24" w:rsidRPr="00E3203D" w:rsidRDefault="00807224" w:rsidP="007972D2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</w:t>
            </w:r>
          </w:p>
        </w:tc>
      </w:tr>
      <w:tr w:rsidR="00807224" w:rsidRPr="00D57407" w:rsidTr="00807224">
        <w:trPr>
          <w:cantSplit/>
          <w:trHeight w:val="276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D57407" w:rsidRDefault="00807224" w:rsidP="007972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D57407" w:rsidRDefault="00807224" w:rsidP="007972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5545E4" w:rsidRDefault="00807224" w:rsidP="007972D2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Pr="005545E4">
              <w:rPr>
                <w:rFonts w:ascii="Times New Roman" w:hAnsi="Times New Roman" w:cs="Times New Roman"/>
                <w:b/>
                <w:sz w:val="24"/>
                <w:szCs w:val="24"/>
              </w:rPr>
              <w:t>00 000,0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24" w:rsidRPr="00242846" w:rsidRDefault="00807224" w:rsidP="007972D2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Pr="00242846">
              <w:rPr>
                <w:rFonts w:ascii="Times New Roman" w:hAnsi="Times New Roman" w:cs="Times New Roman"/>
                <w:b/>
                <w:sz w:val="24"/>
                <w:szCs w:val="24"/>
              </w:rPr>
              <w:t>00 000,0</w:t>
            </w:r>
          </w:p>
        </w:tc>
      </w:tr>
    </w:tbl>
    <w:p w:rsidR="00807224" w:rsidRPr="00E55115" w:rsidRDefault="00807224" w:rsidP="0080722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224" w:rsidRPr="00E55115" w:rsidRDefault="00807224" w:rsidP="0080722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8"/>
        <w:gridCol w:w="1834"/>
        <w:gridCol w:w="2143"/>
        <w:gridCol w:w="1966"/>
        <w:gridCol w:w="2007"/>
        <w:gridCol w:w="1310"/>
      </w:tblGrid>
      <w:tr w:rsidR="00807224" w:rsidRPr="008A4902" w:rsidTr="00807224">
        <w:trPr>
          <w:cantSplit/>
          <w:trHeight w:val="1200"/>
          <w:tblHeader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 xml:space="preserve">№ </w:t>
            </w:r>
            <w:proofErr w:type="spellStart"/>
            <w:proofErr w:type="gramStart"/>
            <w:r w:rsidRPr="008A4902">
              <w:t>п</w:t>
            </w:r>
            <w:proofErr w:type="spellEnd"/>
            <w:proofErr w:type="gramEnd"/>
            <w:r w:rsidRPr="008A4902">
              <w:t>/</w:t>
            </w:r>
            <w:proofErr w:type="spellStart"/>
            <w:r w:rsidRPr="008A4902">
              <w:t>п</w:t>
            </w:r>
            <w:proofErr w:type="spellEnd"/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Дата и номер распоряжения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Наименование главного распорядителя (получателя) средств бюджета муниципального образования «Гагаринский район» Смоленской области код бюджетной классификации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Наименование расходов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Сумма в соответствии с распоряжением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Кассовый расход</w:t>
            </w:r>
          </w:p>
        </w:tc>
      </w:tr>
      <w:tr w:rsidR="00807224" w:rsidRPr="008A4902" w:rsidTr="00807224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3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4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6</w:t>
            </w:r>
          </w:p>
        </w:tc>
      </w:tr>
      <w:tr w:rsidR="00807224" w:rsidRPr="008A4902" w:rsidTr="00807224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3F65F8" w:rsidRDefault="00807224" w:rsidP="007972D2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</w:p>
        </w:tc>
      </w:tr>
      <w:tr w:rsidR="00807224" w:rsidRPr="008A4902" w:rsidTr="00807224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Default="00807224" w:rsidP="007972D2">
            <w:pPr>
              <w:snapToGrid w:val="0"/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Default="00807224" w:rsidP="007972D2">
            <w:pPr>
              <w:snapToGrid w:val="0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Default="00807224" w:rsidP="007972D2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24" w:rsidRDefault="00807224" w:rsidP="007972D2">
            <w:pPr>
              <w:snapToGrid w:val="0"/>
              <w:jc w:val="center"/>
            </w:pPr>
          </w:p>
        </w:tc>
      </w:tr>
      <w:tr w:rsidR="00807224" w:rsidRPr="00D57407" w:rsidTr="00807224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D57407" w:rsidRDefault="00807224" w:rsidP="007972D2">
            <w:pPr>
              <w:snapToGrid w:val="0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D57407" w:rsidRDefault="00807224" w:rsidP="007972D2">
            <w:pPr>
              <w:snapToGrid w:val="0"/>
              <w:rPr>
                <w:b/>
              </w:rPr>
            </w:pPr>
            <w:r w:rsidRPr="00D57407">
              <w:rPr>
                <w:b/>
              </w:rPr>
              <w:t xml:space="preserve">Итого 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D57407" w:rsidRDefault="00807224" w:rsidP="007972D2">
            <w:pPr>
              <w:snapToGrid w:val="0"/>
              <w:rPr>
                <w:b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D57407" w:rsidRDefault="00807224" w:rsidP="007972D2">
            <w:pPr>
              <w:snapToGrid w:val="0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125FA" w:rsidRDefault="00807224" w:rsidP="007972D2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24" w:rsidRPr="006C40EE" w:rsidRDefault="00807224" w:rsidP="007972D2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</w:t>
            </w:r>
          </w:p>
        </w:tc>
      </w:tr>
    </w:tbl>
    <w:p w:rsidR="00440879" w:rsidRPr="00440879" w:rsidRDefault="00440879" w:rsidP="00A86D0B">
      <w:pPr>
        <w:widowControl w:val="0"/>
        <w:tabs>
          <w:tab w:val="left" w:pos="627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440879" w:rsidRPr="00440879" w:rsidSect="00943D7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11" w:rsidRDefault="002A0F11" w:rsidP="00603A8D">
      <w:r>
        <w:separator/>
      </w:r>
    </w:p>
  </w:endnote>
  <w:endnote w:type="continuationSeparator" w:id="0">
    <w:p w:rsidR="002A0F11" w:rsidRDefault="002A0F11" w:rsidP="0060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11" w:rsidRDefault="002A0F11" w:rsidP="00603A8D">
      <w:r>
        <w:separator/>
      </w:r>
    </w:p>
  </w:footnote>
  <w:footnote w:type="continuationSeparator" w:id="0">
    <w:p w:rsidR="002A0F11" w:rsidRDefault="002A0F11" w:rsidP="00603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8D"/>
    <w:rsid w:val="000078D9"/>
    <w:rsid w:val="00016E50"/>
    <w:rsid w:val="00030F44"/>
    <w:rsid w:val="00032668"/>
    <w:rsid w:val="0003576A"/>
    <w:rsid w:val="0004148B"/>
    <w:rsid w:val="00051FC6"/>
    <w:rsid w:val="000522DF"/>
    <w:rsid w:val="00054C67"/>
    <w:rsid w:val="0006536B"/>
    <w:rsid w:val="000716F5"/>
    <w:rsid w:val="000746A4"/>
    <w:rsid w:val="000879FF"/>
    <w:rsid w:val="0009256C"/>
    <w:rsid w:val="00097CC9"/>
    <w:rsid w:val="000A4708"/>
    <w:rsid w:val="000C7B53"/>
    <w:rsid w:val="001136A8"/>
    <w:rsid w:val="00116691"/>
    <w:rsid w:val="00120620"/>
    <w:rsid w:val="00122A64"/>
    <w:rsid w:val="00126634"/>
    <w:rsid w:val="0013321E"/>
    <w:rsid w:val="00134BFE"/>
    <w:rsid w:val="001370B0"/>
    <w:rsid w:val="00142E08"/>
    <w:rsid w:val="00166DBF"/>
    <w:rsid w:val="00166FC4"/>
    <w:rsid w:val="001858B5"/>
    <w:rsid w:val="00186E20"/>
    <w:rsid w:val="00193F1B"/>
    <w:rsid w:val="001A15A3"/>
    <w:rsid w:val="001C2D05"/>
    <w:rsid w:val="001C7BAE"/>
    <w:rsid w:val="001E5B03"/>
    <w:rsid w:val="001F157E"/>
    <w:rsid w:val="001F1AF0"/>
    <w:rsid w:val="0021200F"/>
    <w:rsid w:val="002147CD"/>
    <w:rsid w:val="0023397F"/>
    <w:rsid w:val="0024422D"/>
    <w:rsid w:val="00250580"/>
    <w:rsid w:val="00251E06"/>
    <w:rsid w:val="002606CF"/>
    <w:rsid w:val="002638EA"/>
    <w:rsid w:val="00272C4E"/>
    <w:rsid w:val="002824D4"/>
    <w:rsid w:val="00284B52"/>
    <w:rsid w:val="00291A1F"/>
    <w:rsid w:val="002A0F11"/>
    <w:rsid w:val="002A6094"/>
    <w:rsid w:val="002B3AFA"/>
    <w:rsid w:val="002B71F4"/>
    <w:rsid w:val="002C55B9"/>
    <w:rsid w:val="002E23C4"/>
    <w:rsid w:val="002E4F64"/>
    <w:rsid w:val="0030437D"/>
    <w:rsid w:val="003109EC"/>
    <w:rsid w:val="00320E91"/>
    <w:rsid w:val="00332E61"/>
    <w:rsid w:val="0033453F"/>
    <w:rsid w:val="00361C1A"/>
    <w:rsid w:val="0036791D"/>
    <w:rsid w:val="003A0B8A"/>
    <w:rsid w:val="003A2B07"/>
    <w:rsid w:val="003A331F"/>
    <w:rsid w:val="003B7191"/>
    <w:rsid w:val="003D0181"/>
    <w:rsid w:val="003D56A7"/>
    <w:rsid w:val="003E5DCD"/>
    <w:rsid w:val="003F11D4"/>
    <w:rsid w:val="00416562"/>
    <w:rsid w:val="0042209A"/>
    <w:rsid w:val="004247F7"/>
    <w:rsid w:val="00436716"/>
    <w:rsid w:val="00440879"/>
    <w:rsid w:val="00442161"/>
    <w:rsid w:val="00477AD8"/>
    <w:rsid w:val="0049462E"/>
    <w:rsid w:val="004969CA"/>
    <w:rsid w:val="00497321"/>
    <w:rsid w:val="004A779E"/>
    <w:rsid w:val="004B37C7"/>
    <w:rsid w:val="004B4C42"/>
    <w:rsid w:val="004C1C55"/>
    <w:rsid w:val="004C6B6D"/>
    <w:rsid w:val="004C6D95"/>
    <w:rsid w:val="004C7676"/>
    <w:rsid w:val="004E15CC"/>
    <w:rsid w:val="004F0934"/>
    <w:rsid w:val="004F0F18"/>
    <w:rsid w:val="004F438D"/>
    <w:rsid w:val="004F5FF3"/>
    <w:rsid w:val="004F7AFE"/>
    <w:rsid w:val="005100A2"/>
    <w:rsid w:val="00524A85"/>
    <w:rsid w:val="00531619"/>
    <w:rsid w:val="005455EE"/>
    <w:rsid w:val="005466DD"/>
    <w:rsid w:val="0055790E"/>
    <w:rsid w:val="00571676"/>
    <w:rsid w:val="00571AFB"/>
    <w:rsid w:val="00581BE3"/>
    <w:rsid w:val="00591BDC"/>
    <w:rsid w:val="00593D25"/>
    <w:rsid w:val="005942EB"/>
    <w:rsid w:val="005946E9"/>
    <w:rsid w:val="005973B9"/>
    <w:rsid w:val="005B0DA1"/>
    <w:rsid w:val="005D6062"/>
    <w:rsid w:val="005E7E6E"/>
    <w:rsid w:val="005F20BE"/>
    <w:rsid w:val="005F2333"/>
    <w:rsid w:val="005F46C7"/>
    <w:rsid w:val="00603A8D"/>
    <w:rsid w:val="006171DC"/>
    <w:rsid w:val="00660684"/>
    <w:rsid w:val="006762B7"/>
    <w:rsid w:val="006835BE"/>
    <w:rsid w:val="00683CA4"/>
    <w:rsid w:val="00696847"/>
    <w:rsid w:val="006A38C2"/>
    <w:rsid w:val="006B0F12"/>
    <w:rsid w:val="006B3C05"/>
    <w:rsid w:val="006B4E2C"/>
    <w:rsid w:val="006C267C"/>
    <w:rsid w:val="006C3062"/>
    <w:rsid w:val="006D0167"/>
    <w:rsid w:val="006D51A6"/>
    <w:rsid w:val="006D66D6"/>
    <w:rsid w:val="006F3281"/>
    <w:rsid w:val="006F7DE1"/>
    <w:rsid w:val="00704D96"/>
    <w:rsid w:val="00751290"/>
    <w:rsid w:val="00796F4D"/>
    <w:rsid w:val="007A7FBF"/>
    <w:rsid w:val="007B2973"/>
    <w:rsid w:val="007C50C1"/>
    <w:rsid w:val="007C5DFC"/>
    <w:rsid w:val="007C763B"/>
    <w:rsid w:val="00807224"/>
    <w:rsid w:val="00807D4F"/>
    <w:rsid w:val="00807F24"/>
    <w:rsid w:val="008255F7"/>
    <w:rsid w:val="00847BF8"/>
    <w:rsid w:val="00850CEC"/>
    <w:rsid w:val="00865362"/>
    <w:rsid w:val="00865D5F"/>
    <w:rsid w:val="00876EFB"/>
    <w:rsid w:val="00890BDD"/>
    <w:rsid w:val="008A2DFB"/>
    <w:rsid w:val="008A2F04"/>
    <w:rsid w:val="008B225C"/>
    <w:rsid w:val="008D4F99"/>
    <w:rsid w:val="008F2233"/>
    <w:rsid w:val="008F7E93"/>
    <w:rsid w:val="00903CB5"/>
    <w:rsid w:val="009122BF"/>
    <w:rsid w:val="00925260"/>
    <w:rsid w:val="00943D76"/>
    <w:rsid w:val="00945ABE"/>
    <w:rsid w:val="009516BF"/>
    <w:rsid w:val="009623AD"/>
    <w:rsid w:val="00980E8A"/>
    <w:rsid w:val="0098500D"/>
    <w:rsid w:val="00986D49"/>
    <w:rsid w:val="009B0E6B"/>
    <w:rsid w:val="009B0F52"/>
    <w:rsid w:val="009B56FE"/>
    <w:rsid w:val="009E33C8"/>
    <w:rsid w:val="00A02601"/>
    <w:rsid w:val="00A1039D"/>
    <w:rsid w:val="00A20AE4"/>
    <w:rsid w:val="00A22462"/>
    <w:rsid w:val="00A34EFD"/>
    <w:rsid w:val="00A5408A"/>
    <w:rsid w:val="00A543CD"/>
    <w:rsid w:val="00A66CE0"/>
    <w:rsid w:val="00A75F28"/>
    <w:rsid w:val="00A7753C"/>
    <w:rsid w:val="00A86D0B"/>
    <w:rsid w:val="00A91738"/>
    <w:rsid w:val="00AA27DD"/>
    <w:rsid w:val="00AA5255"/>
    <w:rsid w:val="00AB143D"/>
    <w:rsid w:val="00AC4B91"/>
    <w:rsid w:val="00AF3F1A"/>
    <w:rsid w:val="00B0325C"/>
    <w:rsid w:val="00B13A8A"/>
    <w:rsid w:val="00B1518B"/>
    <w:rsid w:val="00B21022"/>
    <w:rsid w:val="00B26463"/>
    <w:rsid w:val="00B60DA9"/>
    <w:rsid w:val="00B65A4C"/>
    <w:rsid w:val="00B71F92"/>
    <w:rsid w:val="00B723C7"/>
    <w:rsid w:val="00B87C4E"/>
    <w:rsid w:val="00BC24DA"/>
    <w:rsid w:val="00BE7C2F"/>
    <w:rsid w:val="00BF345B"/>
    <w:rsid w:val="00BF75B3"/>
    <w:rsid w:val="00C1279C"/>
    <w:rsid w:val="00C2055B"/>
    <w:rsid w:val="00C447E9"/>
    <w:rsid w:val="00C452D9"/>
    <w:rsid w:val="00C461E3"/>
    <w:rsid w:val="00C474B0"/>
    <w:rsid w:val="00C549D2"/>
    <w:rsid w:val="00C6100F"/>
    <w:rsid w:val="00C627E2"/>
    <w:rsid w:val="00C708F5"/>
    <w:rsid w:val="00C94830"/>
    <w:rsid w:val="00C97B2E"/>
    <w:rsid w:val="00CA546E"/>
    <w:rsid w:val="00CB20EA"/>
    <w:rsid w:val="00CB62D7"/>
    <w:rsid w:val="00CB6662"/>
    <w:rsid w:val="00CC0097"/>
    <w:rsid w:val="00CD16C5"/>
    <w:rsid w:val="00CD423E"/>
    <w:rsid w:val="00CF6AEF"/>
    <w:rsid w:val="00D20D67"/>
    <w:rsid w:val="00D27890"/>
    <w:rsid w:val="00D338B3"/>
    <w:rsid w:val="00D44D32"/>
    <w:rsid w:val="00D44E04"/>
    <w:rsid w:val="00D520F0"/>
    <w:rsid w:val="00D634AC"/>
    <w:rsid w:val="00D70939"/>
    <w:rsid w:val="00D70A9E"/>
    <w:rsid w:val="00D828C9"/>
    <w:rsid w:val="00D97628"/>
    <w:rsid w:val="00DC4149"/>
    <w:rsid w:val="00DD023C"/>
    <w:rsid w:val="00DF4E1A"/>
    <w:rsid w:val="00DF558D"/>
    <w:rsid w:val="00E01B0F"/>
    <w:rsid w:val="00E029D3"/>
    <w:rsid w:val="00E13780"/>
    <w:rsid w:val="00E165FA"/>
    <w:rsid w:val="00E26815"/>
    <w:rsid w:val="00E26B27"/>
    <w:rsid w:val="00E51E1E"/>
    <w:rsid w:val="00E80860"/>
    <w:rsid w:val="00EA44A8"/>
    <w:rsid w:val="00EA6C00"/>
    <w:rsid w:val="00EB3644"/>
    <w:rsid w:val="00EC5474"/>
    <w:rsid w:val="00ED16C5"/>
    <w:rsid w:val="00ED7254"/>
    <w:rsid w:val="00ED7A0B"/>
    <w:rsid w:val="00EF1DD7"/>
    <w:rsid w:val="00EF2DB5"/>
    <w:rsid w:val="00F11000"/>
    <w:rsid w:val="00F12E94"/>
    <w:rsid w:val="00F1415A"/>
    <w:rsid w:val="00F26A57"/>
    <w:rsid w:val="00F34DDA"/>
    <w:rsid w:val="00F45160"/>
    <w:rsid w:val="00F5118F"/>
    <w:rsid w:val="00F538BD"/>
    <w:rsid w:val="00F81F90"/>
    <w:rsid w:val="00FB624D"/>
    <w:rsid w:val="00FB7AF3"/>
    <w:rsid w:val="00FC1949"/>
    <w:rsid w:val="00FC4E4C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D"/>
    <w:pPr>
      <w:spacing w:before="0" w:after="0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3A8D"/>
    <w:pPr>
      <w:keepNext/>
      <w:jc w:val="right"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3A8D"/>
    <w:pPr>
      <w:keepNext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A8D"/>
    <w:rPr>
      <w:rFonts w:eastAsia="Times New Roman"/>
      <w:caps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03A8D"/>
    <w:rPr>
      <w:rFonts w:eastAsia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A8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A8D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708F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4087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0879"/>
    <w:pPr>
      <w:widowControl w:val="0"/>
      <w:suppressAutoHyphens/>
      <w:autoSpaceDE w:val="0"/>
      <w:spacing w:before="0"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3109E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109EC"/>
    <w:rPr>
      <w:color w:val="800080"/>
      <w:u w:val="single"/>
    </w:rPr>
  </w:style>
  <w:style w:type="paragraph" w:customStyle="1" w:styleId="xl65">
    <w:name w:val="xl6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3109EC"/>
    <w:pPr>
      <w:shd w:val="clear" w:color="auto" w:fill="00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3109EC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3109EC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3">
    <w:name w:val="xl73"/>
    <w:basedOn w:val="a"/>
    <w:rsid w:val="003109EC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109E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109E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109EC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3109E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109E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87">
    <w:name w:val="xl8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3109EC"/>
    <w:pPr>
      <w:shd w:val="clear" w:color="auto" w:fill="DBE5F1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109EC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3109EC"/>
    <w:pPr>
      <w:shd w:val="clear" w:color="auto" w:fill="B8CCE4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3109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2">
    <w:name w:val="xl11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6">
    <w:name w:val="xl11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3109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3109E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2">
    <w:name w:val="xl13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3109E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3109EC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310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310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27</cp:revision>
  <cp:lastPrinted>2019-05-20T06:50:00Z</cp:lastPrinted>
  <dcterms:created xsi:type="dcterms:W3CDTF">2018-05-04T05:19:00Z</dcterms:created>
  <dcterms:modified xsi:type="dcterms:W3CDTF">2022-09-16T08:25:00Z</dcterms:modified>
</cp:coreProperties>
</file>